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DD6" w:rsidRPr="00CF2922" w:rsidRDefault="00B60DD6" w:rsidP="00B60DD6">
      <w:pPr>
        <w:shd w:val="clear" w:color="auto" w:fill="FFFFFF"/>
        <w:autoSpaceDE w:val="0"/>
        <w:autoSpaceDN w:val="0"/>
        <w:adjustRightInd w:val="0"/>
        <w:ind w:right="3"/>
        <w:jc w:val="center"/>
        <w:rPr>
          <w:rFonts w:ascii="Arial" w:hAnsi="Arial" w:cs="Arial"/>
          <w:b/>
          <w:sz w:val="32"/>
          <w:szCs w:val="32"/>
        </w:rPr>
      </w:pPr>
      <w:r>
        <w:rPr>
          <w:rFonts w:ascii="Arial" w:hAnsi="Arial" w:cs="Arial"/>
          <w:b/>
          <w:sz w:val="32"/>
          <w:szCs w:val="32"/>
        </w:rPr>
        <w:t>Appropriate Assessment</w:t>
      </w:r>
      <w:r w:rsidRPr="00CF2922">
        <w:rPr>
          <w:rFonts w:ascii="Arial" w:hAnsi="Arial" w:cs="Arial"/>
          <w:b/>
          <w:sz w:val="32"/>
          <w:szCs w:val="32"/>
        </w:rPr>
        <w:t xml:space="preserve"> Determination</w:t>
      </w:r>
    </w:p>
    <w:p w:rsidR="00B60DD6" w:rsidRPr="005E3EC5" w:rsidRDefault="00B60DD6" w:rsidP="00A97AF1">
      <w:pPr>
        <w:jc w:val="center"/>
        <w:rPr>
          <w:rFonts w:ascii="Arial" w:hAnsi="Arial" w:cs="Arial"/>
          <w:b/>
          <w:sz w:val="24"/>
          <w:szCs w:val="24"/>
          <w:lang w:eastAsia="en-IE"/>
        </w:rPr>
      </w:pPr>
      <w:r w:rsidRPr="005E3EC5">
        <w:rPr>
          <w:rFonts w:ascii="Arial" w:hAnsi="Arial" w:cs="Arial"/>
          <w:b/>
          <w:sz w:val="24"/>
          <w:szCs w:val="24"/>
          <w:lang w:eastAsia="en-IE"/>
        </w:rPr>
        <w:t>Appropriate Assessment (AA) Screening Determination Under:</w:t>
      </w:r>
    </w:p>
    <w:p w:rsidR="00B60DD6" w:rsidRPr="005E3EC5" w:rsidRDefault="00B60DD6" w:rsidP="00A97AF1">
      <w:pPr>
        <w:jc w:val="center"/>
        <w:rPr>
          <w:rFonts w:ascii="Arial" w:hAnsi="Arial" w:cs="Arial"/>
          <w:b/>
          <w:sz w:val="24"/>
          <w:szCs w:val="24"/>
          <w:lang w:eastAsia="en-IE"/>
        </w:rPr>
      </w:pPr>
      <w:r w:rsidRPr="005E3EC5">
        <w:rPr>
          <w:rFonts w:ascii="Arial" w:hAnsi="Arial" w:cs="Arial"/>
          <w:b/>
          <w:iCs/>
          <w:sz w:val="24"/>
          <w:szCs w:val="24"/>
        </w:rPr>
        <w:t xml:space="preserve">Article 6(3) of the EU Habitats Directive (92/43/EEC) and </w:t>
      </w:r>
      <w:r w:rsidR="00BD2649">
        <w:rPr>
          <w:rFonts w:ascii="Arial" w:hAnsi="Arial" w:cs="Arial"/>
          <w:b/>
          <w:iCs/>
          <w:sz w:val="24"/>
          <w:szCs w:val="24"/>
        </w:rPr>
        <w:t xml:space="preserve">the </w:t>
      </w:r>
      <w:r w:rsidRPr="005E3EC5">
        <w:rPr>
          <w:rFonts w:ascii="Arial" w:hAnsi="Arial" w:cs="Arial"/>
          <w:b/>
          <w:iCs/>
          <w:sz w:val="24"/>
          <w:szCs w:val="24"/>
        </w:rPr>
        <w:t>Planning and Development Act 2000 (as amended) (Section177U)</w:t>
      </w:r>
    </w:p>
    <w:p w:rsidR="00B60DD6" w:rsidRPr="005E3EC5" w:rsidRDefault="00B60DD6" w:rsidP="00A97AF1">
      <w:pPr>
        <w:jc w:val="center"/>
        <w:rPr>
          <w:rFonts w:ascii="Arial" w:hAnsi="Arial" w:cs="Arial"/>
          <w:b/>
          <w:sz w:val="24"/>
          <w:szCs w:val="24"/>
          <w:lang w:eastAsia="en-IE"/>
        </w:rPr>
      </w:pPr>
      <w:r w:rsidRPr="005E3EC5">
        <w:rPr>
          <w:rFonts w:ascii="Arial" w:hAnsi="Arial" w:cs="Arial"/>
          <w:b/>
          <w:sz w:val="24"/>
          <w:szCs w:val="24"/>
          <w:lang w:eastAsia="en-IE"/>
        </w:rPr>
        <w:t>For:</w:t>
      </w:r>
    </w:p>
    <w:p w:rsidR="00B60DD6" w:rsidRPr="005E3EC5" w:rsidRDefault="00B60DD6" w:rsidP="00A97AF1">
      <w:pPr>
        <w:spacing w:line="276" w:lineRule="auto"/>
        <w:jc w:val="center"/>
        <w:rPr>
          <w:rFonts w:ascii="Arial" w:hAnsi="Arial" w:cs="Arial"/>
          <w:b/>
          <w:sz w:val="24"/>
          <w:szCs w:val="24"/>
        </w:rPr>
      </w:pPr>
      <w:r w:rsidRPr="005E3EC5">
        <w:rPr>
          <w:rFonts w:ascii="Arial" w:hAnsi="Arial" w:cs="Arial"/>
          <w:b/>
          <w:sz w:val="24"/>
          <w:szCs w:val="24"/>
        </w:rPr>
        <w:t>VARIATION NO. 5 OF THE DUBLIN CITY DEVELOPMENT PLAN 2022 – 2028</w:t>
      </w:r>
    </w:p>
    <w:p w:rsidR="00600819" w:rsidRPr="005E3EC5" w:rsidRDefault="00600819" w:rsidP="00906295">
      <w:pPr>
        <w:pStyle w:val="Default"/>
        <w:rPr>
          <w:rFonts w:ascii="Arial" w:hAnsi="Arial" w:cs="Arial"/>
          <w:iCs/>
        </w:rPr>
      </w:pPr>
    </w:p>
    <w:p w:rsidR="00600819" w:rsidRPr="005E3EC5" w:rsidRDefault="00600819" w:rsidP="00600819">
      <w:pPr>
        <w:pBdr>
          <w:bottom w:val="single" w:sz="12" w:space="1" w:color="auto"/>
        </w:pBdr>
        <w:jc w:val="both"/>
        <w:rPr>
          <w:rFonts w:ascii="Arial" w:hAnsi="Arial" w:cs="Arial"/>
          <w:b/>
          <w:bCs/>
          <w:sz w:val="24"/>
          <w:szCs w:val="24"/>
        </w:rPr>
      </w:pPr>
      <w:r w:rsidRPr="005E3EC5">
        <w:rPr>
          <w:rFonts w:ascii="Arial" w:hAnsi="Arial" w:cs="Arial"/>
          <w:b/>
          <w:bCs/>
          <w:sz w:val="24"/>
          <w:szCs w:val="24"/>
        </w:rPr>
        <w:t xml:space="preserve">RE: </w:t>
      </w:r>
      <w:r w:rsidRPr="005E3EC5">
        <w:rPr>
          <w:rFonts w:ascii="Arial" w:hAnsi="Arial" w:cs="Arial"/>
          <w:b/>
          <w:bCs/>
          <w:sz w:val="24"/>
          <w:szCs w:val="24"/>
        </w:rPr>
        <w:tab/>
        <w:t xml:space="preserve">To make a technical update to the 2022 – 2028 Dublin City Development Plan in relation to ‘Build-To-Rent’ (BTR) accommodation following the publication of the guidelines ‘Sustainable Urban Housing: Design Standards for New Apartments – Guidelines for Planning Authorities, DHLGH, 2023, with transitional arrangements.  </w:t>
      </w:r>
    </w:p>
    <w:p w:rsidR="00906295" w:rsidRPr="005E3EC5" w:rsidRDefault="00906295" w:rsidP="00906295">
      <w:pPr>
        <w:pStyle w:val="Default"/>
        <w:rPr>
          <w:rFonts w:ascii="Arial" w:hAnsi="Arial" w:cs="Arial"/>
          <w:iCs/>
        </w:rPr>
      </w:pPr>
      <w:r w:rsidRPr="005E3EC5">
        <w:rPr>
          <w:rFonts w:ascii="Arial" w:hAnsi="Arial" w:cs="Arial"/>
          <w:iCs/>
        </w:rPr>
        <w:t>Dublin City Council determined that an Appropriate Assessment of Variation No. 5 of the Dublin City Development Plan 2022 – 2028 is not required, as the Variation, individually or in combination with other plans or projects, does not have the potential to result in any land use effects that could in turn result in likely signific</w:t>
      </w:r>
      <w:r w:rsidR="003B35E3">
        <w:rPr>
          <w:rFonts w:ascii="Arial" w:hAnsi="Arial" w:cs="Arial"/>
          <w:iCs/>
        </w:rPr>
        <w:t xml:space="preserve">ant effects on European sites having regard to the conservation objectives of the relevant European sites.  </w:t>
      </w:r>
    </w:p>
    <w:p w:rsidR="00906295" w:rsidRPr="005E3EC5" w:rsidRDefault="00906295" w:rsidP="00906295">
      <w:pPr>
        <w:pStyle w:val="Default"/>
        <w:rPr>
          <w:rFonts w:ascii="Arial" w:hAnsi="Arial" w:cs="Arial"/>
          <w:iCs/>
        </w:rPr>
      </w:pPr>
    </w:p>
    <w:p w:rsidR="00906295" w:rsidRPr="005E3EC5" w:rsidRDefault="00906295" w:rsidP="00906295">
      <w:pPr>
        <w:shd w:val="clear" w:color="auto" w:fill="FFFFFF"/>
        <w:autoSpaceDE w:val="0"/>
        <w:autoSpaceDN w:val="0"/>
        <w:adjustRightInd w:val="0"/>
        <w:ind w:right="3"/>
        <w:jc w:val="both"/>
        <w:rPr>
          <w:rFonts w:ascii="Arial" w:hAnsi="Arial" w:cs="Arial"/>
          <w:sz w:val="24"/>
          <w:szCs w:val="24"/>
        </w:rPr>
      </w:pPr>
      <w:r w:rsidRPr="005E3EC5">
        <w:rPr>
          <w:rFonts w:ascii="Arial" w:hAnsi="Arial" w:cs="Arial"/>
          <w:sz w:val="24"/>
          <w:szCs w:val="24"/>
        </w:rPr>
        <w:t>Variation No. 5 does not therefore require an Appropriate Assessment or the preparation of a Natura Impact Report (NIR).</w:t>
      </w:r>
    </w:p>
    <w:p w:rsidR="00906295" w:rsidRPr="005E3EC5" w:rsidRDefault="00906295" w:rsidP="00906295">
      <w:pPr>
        <w:pStyle w:val="Default"/>
        <w:rPr>
          <w:rFonts w:ascii="Arial" w:hAnsi="Arial" w:cs="Arial"/>
        </w:rPr>
      </w:pPr>
      <w:r w:rsidRPr="005E3EC5">
        <w:rPr>
          <w:rFonts w:ascii="Arial" w:hAnsi="Arial" w:cs="Arial"/>
        </w:rPr>
        <w:t>This determination has been made following consideration of:</w:t>
      </w:r>
    </w:p>
    <w:p w:rsidR="00906295" w:rsidRPr="005E3EC5" w:rsidRDefault="00906295" w:rsidP="00906295">
      <w:pPr>
        <w:pStyle w:val="Default"/>
        <w:rPr>
          <w:rFonts w:ascii="Arial" w:hAnsi="Arial" w:cs="Arial"/>
        </w:rPr>
      </w:pPr>
    </w:p>
    <w:p w:rsidR="0038504D" w:rsidRPr="005E3EC5" w:rsidRDefault="0038504D" w:rsidP="00906295">
      <w:pPr>
        <w:pStyle w:val="Default"/>
        <w:numPr>
          <w:ilvl w:val="0"/>
          <w:numId w:val="2"/>
        </w:numPr>
        <w:rPr>
          <w:rFonts w:ascii="Arial" w:hAnsi="Arial" w:cs="Arial"/>
        </w:rPr>
      </w:pPr>
      <w:r w:rsidRPr="005E3EC5">
        <w:rPr>
          <w:rFonts w:ascii="Arial" w:hAnsi="Arial" w:cs="Arial"/>
        </w:rPr>
        <w:t>the nature of the proposed Variation No. 5 (relating to Build-To-Rent</w:t>
      </w:r>
      <w:r w:rsidR="00D84B1B" w:rsidRPr="005E3EC5">
        <w:rPr>
          <w:rFonts w:ascii="Arial" w:hAnsi="Arial" w:cs="Arial"/>
        </w:rPr>
        <w:t xml:space="preserve"> accommodation</w:t>
      </w:r>
      <w:r w:rsidRPr="005E3EC5">
        <w:rPr>
          <w:rFonts w:ascii="Arial" w:hAnsi="Arial" w:cs="Arial"/>
        </w:rPr>
        <w:t>)</w:t>
      </w:r>
    </w:p>
    <w:p w:rsidR="0038504D" w:rsidRPr="005E3EC5" w:rsidRDefault="0038504D" w:rsidP="00906295">
      <w:pPr>
        <w:pStyle w:val="Default"/>
        <w:numPr>
          <w:ilvl w:val="0"/>
          <w:numId w:val="2"/>
        </w:numPr>
        <w:rPr>
          <w:rFonts w:ascii="Arial" w:hAnsi="Arial" w:cs="Arial"/>
        </w:rPr>
      </w:pPr>
      <w:r w:rsidRPr="005E3EC5">
        <w:rPr>
          <w:rFonts w:ascii="Arial" w:hAnsi="Arial" w:cs="Arial"/>
        </w:rPr>
        <w:t>the Appropriate Assessment Screening Report and Conclusion</w:t>
      </w:r>
    </w:p>
    <w:p w:rsidR="00906295" w:rsidRPr="005E3EC5" w:rsidRDefault="0038504D" w:rsidP="00906295">
      <w:pPr>
        <w:pStyle w:val="Default"/>
        <w:numPr>
          <w:ilvl w:val="0"/>
          <w:numId w:val="3"/>
        </w:numPr>
        <w:rPr>
          <w:rFonts w:ascii="Arial" w:hAnsi="Arial" w:cs="Arial"/>
        </w:rPr>
      </w:pPr>
      <w:r w:rsidRPr="005E3EC5">
        <w:rPr>
          <w:rFonts w:ascii="Arial" w:hAnsi="Arial" w:cs="Arial"/>
          <w:iCs/>
        </w:rPr>
        <w:t xml:space="preserve">the Dublin City Development Plan 2022 </w:t>
      </w:r>
      <w:r w:rsidR="002278FA" w:rsidRPr="005E3EC5">
        <w:rPr>
          <w:rFonts w:ascii="Arial" w:hAnsi="Arial" w:cs="Arial"/>
          <w:iCs/>
        </w:rPr>
        <w:t>–</w:t>
      </w:r>
      <w:r w:rsidRPr="005E3EC5">
        <w:rPr>
          <w:rFonts w:ascii="Arial" w:hAnsi="Arial" w:cs="Arial"/>
          <w:iCs/>
        </w:rPr>
        <w:t xml:space="preserve"> 2028</w:t>
      </w:r>
      <w:r w:rsidR="002278FA" w:rsidRPr="005E3EC5">
        <w:rPr>
          <w:rFonts w:ascii="Arial" w:hAnsi="Arial" w:cs="Arial"/>
          <w:iCs/>
        </w:rPr>
        <w:t xml:space="preserve">, and </w:t>
      </w:r>
    </w:p>
    <w:p w:rsidR="00906295" w:rsidRPr="005E3EC5" w:rsidRDefault="0038504D" w:rsidP="00906295">
      <w:pPr>
        <w:pStyle w:val="Default"/>
        <w:numPr>
          <w:ilvl w:val="0"/>
          <w:numId w:val="3"/>
        </w:numPr>
        <w:rPr>
          <w:rFonts w:ascii="Arial" w:hAnsi="Arial" w:cs="Arial"/>
        </w:rPr>
      </w:pPr>
      <w:r w:rsidRPr="005E3EC5">
        <w:rPr>
          <w:rFonts w:ascii="Arial" w:hAnsi="Arial" w:cs="Arial"/>
          <w:iCs/>
        </w:rPr>
        <w:t>t</w:t>
      </w:r>
      <w:r w:rsidR="00906295" w:rsidRPr="005E3EC5">
        <w:rPr>
          <w:rFonts w:ascii="Arial" w:hAnsi="Arial" w:cs="Arial"/>
          <w:iCs/>
        </w:rPr>
        <w:t xml:space="preserve">he Strategic Environmental Assessment </w:t>
      </w:r>
      <w:r w:rsidR="00D84B1B" w:rsidRPr="005E3EC5">
        <w:rPr>
          <w:rFonts w:ascii="Arial" w:hAnsi="Arial" w:cs="Arial"/>
          <w:iCs/>
        </w:rPr>
        <w:t xml:space="preserve">(SEA) </w:t>
      </w:r>
      <w:r w:rsidR="00906295" w:rsidRPr="005E3EC5">
        <w:rPr>
          <w:rFonts w:ascii="Arial" w:hAnsi="Arial" w:cs="Arial"/>
          <w:iCs/>
        </w:rPr>
        <w:t xml:space="preserve">Screening </w:t>
      </w:r>
      <w:r w:rsidRPr="005E3EC5">
        <w:rPr>
          <w:rFonts w:ascii="Arial" w:hAnsi="Arial" w:cs="Arial"/>
          <w:iCs/>
        </w:rPr>
        <w:t>Report</w:t>
      </w:r>
      <w:r w:rsidR="002278FA" w:rsidRPr="005E3EC5">
        <w:rPr>
          <w:rFonts w:ascii="Arial" w:hAnsi="Arial" w:cs="Arial"/>
          <w:iCs/>
        </w:rPr>
        <w:t>, and</w:t>
      </w:r>
    </w:p>
    <w:p w:rsidR="00906295" w:rsidRPr="005E3EC5" w:rsidRDefault="00D84B1B" w:rsidP="00906295">
      <w:pPr>
        <w:pStyle w:val="Default"/>
        <w:numPr>
          <w:ilvl w:val="0"/>
          <w:numId w:val="3"/>
        </w:numPr>
        <w:rPr>
          <w:rFonts w:ascii="Arial" w:hAnsi="Arial" w:cs="Arial"/>
        </w:rPr>
      </w:pPr>
      <w:proofErr w:type="gramStart"/>
      <w:r w:rsidRPr="005E3EC5">
        <w:rPr>
          <w:rFonts w:ascii="Arial" w:hAnsi="Arial" w:cs="Arial"/>
          <w:iCs/>
        </w:rPr>
        <w:t>t</w:t>
      </w:r>
      <w:r w:rsidR="00906295" w:rsidRPr="005E3EC5">
        <w:rPr>
          <w:rFonts w:ascii="Arial" w:hAnsi="Arial" w:cs="Arial"/>
          <w:iCs/>
        </w:rPr>
        <w:t>he</w:t>
      </w:r>
      <w:proofErr w:type="gramEnd"/>
      <w:r w:rsidR="00906295" w:rsidRPr="005E3EC5">
        <w:rPr>
          <w:rFonts w:ascii="Arial" w:hAnsi="Arial" w:cs="Arial"/>
          <w:iCs/>
        </w:rPr>
        <w:t xml:space="preserve"> Chief Executive’s Report and Recommendations.</w:t>
      </w:r>
    </w:p>
    <w:p w:rsidR="00906295" w:rsidRPr="005E3EC5" w:rsidRDefault="00906295" w:rsidP="00906295">
      <w:pPr>
        <w:shd w:val="clear" w:color="auto" w:fill="FFFFFF"/>
        <w:autoSpaceDE w:val="0"/>
        <w:autoSpaceDN w:val="0"/>
        <w:adjustRightInd w:val="0"/>
        <w:ind w:right="3"/>
        <w:jc w:val="both"/>
        <w:rPr>
          <w:rFonts w:ascii="Arial" w:hAnsi="Arial" w:cs="Arial"/>
          <w:iCs/>
          <w:sz w:val="24"/>
          <w:szCs w:val="24"/>
        </w:rPr>
      </w:pPr>
    </w:p>
    <w:p w:rsidR="00906295" w:rsidRPr="005E3EC5" w:rsidRDefault="00906295" w:rsidP="00906295">
      <w:pPr>
        <w:shd w:val="clear" w:color="auto" w:fill="FFFFFF"/>
        <w:autoSpaceDE w:val="0"/>
        <w:autoSpaceDN w:val="0"/>
        <w:adjustRightInd w:val="0"/>
        <w:ind w:right="3"/>
        <w:jc w:val="both"/>
        <w:rPr>
          <w:rFonts w:ascii="Arial" w:hAnsi="Arial" w:cs="Arial"/>
          <w:iCs/>
          <w:sz w:val="24"/>
          <w:szCs w:val="24"/>
        </w:rPr>
      </w:pPr>
      <w:r w:rsidRPr="005E3EC5">
        <w:rPr>
          <w:rFonts w:ascii="Arial" w:hAnsi="Arial" w:cs="Arial"/>
          <w:iCs/>
          <w:sz w:val="24"/>
          <w:szCs w:val="24"/>
        </w:rPr>
        <w:t xml:space="preserve">The determination and documentation is available for public inspection at the </w:t>
      </w:r>
      <w:r w:rsidR="00E6718B" w:rsidRPr="005E3EC5">
        <w:rPr>
          <w:rFonts w:ascii="Arial" w:hAnsi="Arial" w:cs="Arial"/>
          <w:iCs/>
          <w:sz w:val="24"/>
          <w:szCs w:val="24"/>
        </w:rPr>
        <w:t>Dublin City Council</w:t>
      </w:r>
      <w:r w:rsidR="00B60B7B">
        <w:rPr>
          <w:rFonts w:ascii="Arial" w:hAnsi="Arial" w:cs="Arial"/>
          <w:iCs/>
          <w:sz w:val="24"/>
          <w:szCs w:val="24"/>
        </w:rPr>
        <w:t xml:space="preserve"> Offices and on the Council’s website.</w:t>
      </w:r>
    </w:p>
    <w:p w:rsidR="00891DBB" w:rsidRDefault="00891DBB" w:rsidP="00891DBB">
      <w:pPr>
        <w:pStyle w:val="NormalWeb"/>
      </w:pPr>
      <w:r>
        <w:rPr>
          <w:noProof/>
        </w:rPr>
        <w:drawing>
          <wp:inline distT="0" distB="0" distL="0" distR="0" wp14:anchorId="157C7146" wp14:editId="2579F092">
            <wp:extent cx="1892531" cy="661851"/>
            <wp:effectExtent l="0" t="0" r="0" b="5080"/>
            <wp:docPr id="1" name="Picture 1" descr="S:\Planning\05_Development Plan\01_2022-2028 DEVELOPMENT PLAN\9. Variations\Deidre Signature\Deirdre Scu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anning\05_Development Plan\01_2022-2028 DEVELOPMENT PLAN\9. Variations\Deidre Signature\Deirdre Scull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1382" cy="671941"/>
                    </a:xfrm>
                    <a:prstGeom prst="rect">
                      <a:avLst/>
                    </a:prstGeom>
                    <a:noFill/>
                    <a:ln>
                      <a:noFill/>
                    </a:ln>
                  </pic:spPr>
                </pic:pic>
              </a:graphicData>
            </a:graphic>
          </wp:inline>
        </w:drawing>
      </w:r>
    </w:p>
    <w:p w:rsidR="00AF26BB" w:rsidRPr="005E3EC5" w:rsidRDefault="00AF3AA2" w:rsidP="00AF26BB">
      <w:pPr>
        <w:rPr>
          <w:rFonts w:ascii="Arial" w:hAnsi="Arial" w:cs="Arial"/>
          <w:sz w:val="24"/>
          <w:szCs w:val="24"/>
        </w:rPr>
      </w:pPr>
      <w:r w:rsidRPr="005E3EC5">
        <w:rPr>
          <w:rFonts w:ascii="Arial" w:hAnsi="Arial" w:cs="Arial"/>
          <w:sz w:val="24"/>
          <w:szCs w:val="24"/>
        </w:rPr>
        <w:t>___________</w:t>
      </w:r>
      <w:r w:rsidR="00AF26BB" w:rsidRPr="005E3EC5">
        <w:rPr>
          <w:rFonts w:ascii="Arial" w:hAnsi="Arial" w:cs="Arial"/>
          <w:sz w:val="24"/>
          <w:szCs w:val="24"/>
        </w:rPr>
        <w:t>__________________________</w:t>
      </w:r>
      <w:r w:rsidR="00AF26BB" w:rsidRPr="005E3EC5">
        <w:rPr>
          <w:rFonts w:ascii="Arial" w:hAnsi="Arial" w:cs="Arial"/>
          <w:sz w:val="24"/>
          <w:szCs w:val="24"/>
        </w:rPr>
        <w:tab/>
      </w:r>
      <w:r w:rsidR="00AF26BB" w:rsidRPr="005E3EC5">
        <w:rPr>
          <w:rFonts w:ascii="Arial" w:hAnsi="Arial" w:cs="Arial"/>
          <w:sz w:val="24"/>
          <w:szCs w:val="24"/>
        </w:rPr>
        <w:tab/>
      </w:r>
      <w:r w:rsidR="00AF26BB" w:rsidRPr="005E3EC5">
        <w:rPr>
          <w:rFonts w:ascii="Arial" w:hAnsi="Arial" w:cs="Arial"/>
          <w:sz w:val="24"/>
          <w:szCs w:val="24"/>
        </w:rPr>
        <w:tab/>
      </w:r>
      <w:r w:rsidR="00AF26BB" w:rsidRPr="005E3EC5">
        <w:rPr>
          <w:rFonts w:ascii="Arial" w:hAnsi="Arial" w:cs="Arial"/>
          <w:sz w:val="24"/>
          <w:szCs w:val="24"/>
        </w:rPr>
        <w:tab/>
      </w:r>
      <w:r w:rsidR="00AF26BB" w:rsidRPr="005E3EC5">
        <w:rPr>
          <w:rFonts w:ascii="Arial" w:hAnsi="Arial" w:cs="Arial"/>
          <w:sz w:val="24"/>
          <w:szCs w:val="24"/>
        </w:rPr>
        <w:tab/>
      </w:r>
    </w:p>
    <w:p w:rsidR="00AF3AA2" w:rsidRPr="005E3EC5" w:rsidRDefault="00AF3AA2" w:rsidP="00AF26BB">
      <w:pPr>
        <w:rPr>
          <w:rFonts w:ascii="Arial" w:hAnsi="Arial" w:cs="Arial"/>
          <w:b/>
          <w:sz w:val="24"/>
          <w:szCs w:val="24"/>
        </w:rPr>
      </w:pPr>
      <w:r w:rsidRPr="005E3EC5">
        <w:rPr>
          <w:rFonts w:ascii="Arial" w:hAnsi="Arial" w:cs="Arial"/>
          <w:b/>
          <w:sz w:val="24"/>
          <w:szCs w:val="24"/>
        </w:rPr>
        <w:t>City Planner</w:t>
      </w:r>
    </w:p>
    <w:p w:rsidR="00AF26BB" w:rsidRPr="005E3EC5" w:rsidRDefault="00AF26BB" w:rsidP="00AF3AA2">
      <w:pPr>
        <w:ind w:firstLine="720"/>
        <w:rPr>
          <w:rFonts w:ascii="Arial" w:hAnsi="Arial" w:cs="Arial"/>
          <w:b/>
          <w:sz w:val="24"/>
          <w:szCs w:val="24"/>
        </w:rPr>
      </w:pPr>
    </w:p>
    <w:p w:rsidR="00AF3AA2" w:rsidRPr="005E3EC5" w:rsidRDefault="00AF3AA2" w:rsidP="00AF26BB">
      <w:pPr>
        <w:rPr>
          <w:rFonts w:ascii="Arial" w:hAnsi="Arial" w:cs="Arial"/>
          <w:b/>
          <w:sz w:val="24"/>
          <w:szCs w:val="24"/>
        </w:rPr>
      </w:pPr>
      <w:r w:rsidRPr="005E3EC5">
        <w:rPr>
          <w:rFonts w:ascii="Arial" w:hAnsi="Arial" w:cs="Arial"/>
          <w:b/>
          <w:sz w:val="24"/>
          <w:szCs w:val="24"/>
        </w:rPr>
        <w:t>Date:</w:t>
      </w:r>
      <w:r w:rsidR="00891DBB">
        <w:rPr>
          <w:rFonts w:ascii="Arial" w:hAnsi="Arial" w:cs="Arial"/>
          <w:b/>
          <w:sz w:val="24"/>
          <w:szCs w:val="24"/>
        </w:rPr>
        <w:t xml:space="preserve"> 24.04.24</w:t>
      </w:r>
      <w:bookmarkStart w:id="0" w:name="_GoBack"/>
      <w:bookmarkEnd w:id="0"/>
    </w:p>
    <w:p w:rsidR="00906295" w:rsidRPr="00D7239F" w:rsidRDefault="00906295" w:rsidP="00906295">
      <w:pPr>
        <w:pStyle w:val="Default"/>
        <w:rPr>
          <w:rFonts w:ascii="Arial" w:hAnsi="Arial" w:cs="Arial"/>
          <w:iCs/>
        </w:rPr>
      </w:pPr>
    </w:p>
    <w:p w:rsidR="00B60DD6" w:rsidRDefault="00B60DD6" w:rsidP="00B56707">
      <w:pPr>
        <w:pStyle w:val="Default"/>
        <w:rPr>
          <w:rFonts w:ascii="Arial" w:hAnsi="Arial" w:cs="Arial"/>
          <w:iCs/>
        </w:rPr>
      </w:pPr>
    </w:p>
    <w:p w:rsidR="00B60DD6" w:rsidRDefault="00B60DD6" w:rsidP="00B56707">
      <w:pPr>
        <w:pStyle w:val="Default"/>
        <w:rPr>
          <w:rFonts w:ascii="Arial" w:hAnsi="Arial" w:cs="Arial"/>
          <w:iCs/>
        </w:rPr>
      </w:pPr>
    </w:p>
    <w:p w:rsidR="00B56707" w:rsidRPr="00D7239F" w:rsidRDefault="00B56707" w:rsidP="00B56707">
      <w:pPr>
        <w:pStyle w:val="Default"/>
        <w:rPr>
          <w:rFonts w:ascii="Arial" w:hAnsi="Arial" w:cs="Arial"/>
          <w:iCs/>
        </w:rPr>
      </w:pPr>
    </w:p>
    <w:p w:rsidR="00B56707" w:rsidRDefault="00B56707" w:rsidP="00042467">
      <w:pPr>
        <w:shd w:val="clear" w:color="auto" w:fill="FFFFFF"/>
        <w:autoSpaceDE w:val="0"/>
        <w:autoSpaceDN w:val="0"/>
        <w:adjustRightInd w:val="0"/>
        <w:ind w:right="3"/>
        <w:jc w:val="both"/>
        <w:rPr>
          <w:rFonts w:ascii="Arial" w:hAnsi="Arial" w:cs="Arial"/>
          <w:sz w:val="24"/>
          <w:szCs w:val="24"/>
        </w:rPr>
      </w:pPr>
    </w:p>
    <w:p w:rsidR="00042467" w:rsidRDefault="00042467" w:rsidP="00042467">
      <w:pPr>
        <w:shd w:val="clear" w:color="auto" w:fill="FFFFFF"/>
        <w:autoSpaceDE w:val="0"/>
        <w:autoSpaceDN w:val="0"/>
        <w:adjustRightInd w:val="0"/>
        <w:ind w:right="3"/>
        <w:jc w:val="both"/>
        <w:rPr>
          <w:rFonts w:ascii="Arial" w:hAnsi="Arial" w:cs="Arial"/>
          <w:sz w:val="24"/>
          <w:szCs w:val="24"/>
        </w:rPr>
      </w:pPr>
    </w:p>
    <w:p w:rsidR="00042467" w:rsidRPr="00F45AC5" w:rsidRDefault="00042467" w:rsidP="00042467">
      <w:pPr>
        <w:shd w:val="clear" w:color="auto" w:fill="FFFFFF"/>
        <w:autoSpaceDE w:val="0"/>
        <w:autoSpaceDN w:val="0"/>
        <w:adjustRightInd w:val="0"/>
        <w:ind w:right="3"/>
        <w:jc w:val="both"/>
        <w:rPr>
          <w:rFonts w:ascii="Arial" w:hAnsi="Arial" w:cs="Arial"/>
          <w:sz w:val="24"/>
          <w:szCs w:val="24"/>
        </w:rPr>
      </w:pPr>
    </w:p>
    <w:p w:rsidR="00A8142E" w:rsidRDefault="00891DBB"/>
    <w:sectPr w:rsidR="00A81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02C0"/>
    <w:multiLevelType w:val="hybridMultilevel"/>
    <w:tmpl w:val="452AB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98D4287"/>
    <w:multiLevelType w:val="hybridMultilevel"/>
    <w:tmpl w:val="64C8A87A"/>
    <w:lvl w:ilvl="0" w:tplc="E712207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4B92639"/>
    <w:multiLevelType w:val="hybridMultilevel"/>
    <w:tmpl w:val="0638F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F0"/>
    <w:rsid w:val="00042467"/>
    <w:rsid w:val="00171A5C"/>
    <w:rsid w:val="00184F70"/>
    <w:rsid w:val="001C00F0"/>
    <w:rsid w:val="002278FA"/>
    <w:rsid w:val="0038504D"/>
    <w:rsid w:val="003B35E3"/>
    <w:rsid w:val="005E3EC5"/>
    <w:rsid w:val="00600819"/>
    <w:rsid w:val="00750B9C"/>
    <w:rsid w:val="007B421E"/>
    <w:rsid w:val="00824898"/>
    <w:rsid w:val="00891DBB"/>
    <w:rsid w:val="00906295"/>
    <w:rsid w:val="00A3729F"/>
    <w:rsid w:val="00A97AF1"/>
    <w:rsid w:val="00AF26BB"/>
    <w:rsid w:val="00AF3AA2"/>
    <w:rsid w:val="00B32E3C"/>
    <w:rsid w:val="00B56707"/>
    <w:rsid w:val="00B60B7B"/>
    <w:rsid w:val="00B60DD6"/>
    <w:rsid w:val="00BD0332"/>
    <w:rsid w:val="00BD2649"/>
    <w:rsid w:val="00D7239F"/>
    <w:rsid w:val="00D84B1B"/>
    <w:rsid w:val="00E671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681F"/>
  <w15:chartTrackingRefBased/>
  <w15:docId w15:val="{24A79FEB-D91E-4EF5-BBC6-8E60474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670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891DB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O'Donoghue</dc:creator>
  <cp:keywords/>
  <dc:description/>
  <cp:lastModifiedBy>Jane O'Donoghue</cp:lastModifiedBy>
  <cp:revision>34</cp:revision>
  <dcterms:created xsi:type="dcterms:W3CDTF">2024-04-17T16:07:00Z</dcterms:created>
  <dcterms:modified xsi:type="dcterms:W3CDTF">2024-04-25T08:41:00Z</dcterms:modified>
</cp:coreProperties>
</file>