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E1" w:rsidRPr="0028485E" w:rsidRDefault="00C236E1" w:rsidP="00C236E1">
      <w:pPr>
        <w:keepNext/>
        <w:spacing w:after="0" w:line="240" w:lineRule="auto"/>
        <w:jc w:val="center"/>
        <w:outlineLvl w:val="2"/>
        <w:rPr>
          <w:rFonts w:eastAsia="Times New Roman" w:cstheme="minorHAnsi"/>
          <w:b/>
          <w:szCs w:val="20"/>
          <w:lang w:val="en-GB"/>
        </w:rPr>
      </w:pPr>
      <w:r w:rsidRPr="0028485E">
        <w:rPr>
          <w:rFonts w:eastAsia="Times New Roman" w:cstheme="minorHAnsi"/>
          <w:b/>
          <w:szCs w:val="20"/>
          <w:lang w:val="en-GB"/>
        </w:rPr>
        <w:t>PUBLIC NOTICE</w:t>
      </w:r>
    </w:p>
    <w:p w:rsidR="00C236E1" w:rsidRDefault="00C236E1" w:rsidP="00C236E1">
      <w:pPr>
        <w:spacing w:after="0" w:line="240" w:lineRule="auto"/>
        <w:jc w:val="center"/>
        <w:rPr>
          <w:rFonts w:eastAsia="Times New Roman" w:cstheme="minorHAnsi"/>
          <w:b/>
          <w:szCs w:val="24"/>
          <w:lang w:val="en-GB"/>
        </w:rPr>
      </w:pPr>
    </w:p>
    <w:p w:rsidR="00C236E1" w:rsidRPr="0028485E" w:rsidRDefault="00C236E1" w:rsidP="00C236E1">
      <w:pPr>
        <w:spacing w:after="0" w:line="240" w:lineRule="auto"/>
        <w:jc w:val="center"/>
        <w:rPr>
          <w:rFonts w:eastAsia="Times New Roman" w:cstheme="minorHAnsi"/>
          <w:b/>
          <w:szCs w:val="24"/>
          <w:lang w:val="en-GB"/>
        </w:rPr>
      </w:pPr>
      <w:r w:rsidRPr="0028485E">
        <w:rPr>
          <w:rFonts w:eastAsia="Times New Roman" w:cstheme="minorHAnsi"/>
          <w:b/>
          <w:szCs w:val="24"/>
          <w:lang w:val="en-GB"/>
        </w:rPr>
        <w:t>DUBLIN CITY COUNCIL</w:t>
      </w:r>
    </w:p>
    <w:p w:rsidR="00C236E1" w:rsidRPr="0028485E" w:rsidRDefault="00C236E1" w:rsidP="00C236E1">
      <w:pPr>
        <w:spacing w:after="0" w:line="240" w:lineRule="auto"/>
        <w:jc w:val="center"/>
        <w:rPr>
          <w:rFonts w:eastAsia="Times New Roman" w:cstheme="minorHAnsi"/>
          <w:b/>
          <w:szCs w:val="24"/>
          <w:lang w:val="en-GB"/>
        </w:rPr>
      </w:pPr>
    </w:p>
    <w:p w:rsidR="00C236E1" w:rsidRDefault="00C236E1" w:rsidP="00C236E1">
      <w:pPr>
        <w:spacing w:after="0" w:line="240" w:lineRule="auto"/>
        <w:jc w:val="center"/>
        <w:rPr>
          <w:rFonts w:eastAsia="Times New Roman" w:cstheme="minorHAnsi"/>
          <w:b/>
          <w:szCs w:val="24"/>
          <w:lang w:val="en-GB"/>
        </w:rPr>
      </w:pPr>
      <w:r w:rsidRPr="0028485E">
        <w:rPr>
          <w:rFonts w:eastAsia="Times New Roman" w:cstheme="minorHAnsi"/>
          <w:b/>
          <w:szCs w:val="24"/>
          <w:lang w:val="en-GB"/>
        </w:rPr>
        <w:t>PLANNING AND DEVELOPMENT ACT 2000 AS AMENDED</w:t>
      </w:r>
    </w:p>
    <w:p w:rsidR="00C236E1" w:rsidRPr="0028485E" w:rsidRDefault="00C236E1" w:rsidP="00C236E1">
      <w:pPr>
        <w:spacing w:after="0" w:line="240" w:lineRule="auto"/>
        <w:jc w:val="center"/>
        <w:rPr>
          <w:rFonts w:eastAsia="Times New Roman" w:cstheme="minorHAnsi"/>
          <w:b/>
          <w:szCs w:val="24"/>
          <w:lang w:val="en-GB"/>
        </w:rPr>
      </w:pPr>
    </w:p>
    <w:p w:rsidR="00C236E1" w:rsidRDefault="00C236E1" w:rsidP="00C236E1">
      <w:pPr>
        <w:spacing w:after="0" w:line="240" w:lineRule="auto"/>
        <w:jc w:val="center"/>
        <w:rPr>
          <w:rFonts w:eastAsia="Times New Roman" w:cstheme="minorHAnsi"/>
          <w:b/>
          <w:bCs/>
          <w:szCs w:val="24"/>
          <w:lang w:val="en-GB"/>
        </w:rPr>
      </w:pPr>
      <w:r w:rsidRPr="0028485E">
        <w:rPr>
          <w:rFonts w:eastAsia="Times New Roman" w:cstheme="minorHAnsi"/>
          <w:b/>
          <w:szCs w:val="24"/>
          <w:lang w:val="en-GB"/>
        </w:rPr>
        <w:t xml:space="preserve">NOTICE OF </w:t>
      </w:r>
      <w:r>
        <w:rPr>
          <w:rFonts w:eastAsia="Times New Roman" w:cstheme="minorHAnsi"/>
          <w:b/>
          <w:szCs w:val="24"/>
          <w:lang w:val="en-GB"/>
        </w:rPr>
        <w:t>APPROVED</w:t>
      </w:r>
      <w:r>
        <w:rPr>
          <w:rFonts w:eastAsia="Times New Roman" w:cstheme="minorHAnsi"/>
          <w:b/>
          <w:bCs/>
          <w:szCs w:val="24"/>
          <w:lang w:val="en-GB"/>
        </w:rPr>
        <w:t xml:space="preserve"> </w:t>
      </w:r>
      <w:r w:rsidRPr="0028485E">
        <w:rPr>
          <w:rFonts w:eastAsia="Times New Roman" w:cstheme="minorHAnsi"/>
          <w:b/>
          <w:bCs/>
          <w:szCs w:val="24"/>
          <w:lang w:val="en-GB"/>
        </w:rPr>
        <w:t>SCHEME OF SPECIAL PLANNING CONTROL</w:t>
      </w:r>
    </w:p>
    <w:p w:rsidR="00C236E1" w:rsidRDefault="00C236E1" w:rsidP="00C236E1">
      <w:pPr>
        <w:spacing w:after="0" w:line="240" w:lineRule="auto"/>
        <w:ind w:firstLine="720"/>
        <w:jc w:val="center"/>
        <w:rPr>
          <w:rFonts w:eastAsia="Times New Roman" w:cstheme="minorHAnsi"/>
          <w:b/>
          <w:bCs/>
          <w:szCs w:val="24"/>
          <w:lang w:val="en-GB"/>
        </w:rPr>
      </w:pPr>
    </w:p>
    <w:p w:rsidR="00C236E1" w:rsidRDefault="00C236E1" w:rsidP="00C236E1">
      <w:pPr>
        <w:spacing w:after="0" w:line="240" w:lineRule="auto"/>
        <w:jc w:val="center"/>
        <w:rPr>
          <w:rFonts w:eastAsia="Times New Roman" w:cstheme="minorHAnsi"/>
          <w:b/>
          <w:bCs/>
          <w:szCs w:val="24"/>
          <w:lang w:val="en-GB"/>
        </w:rPr>
      </w:pPr>
      <w:r w:rsidRPr="0028485E">
        <w:rPr>
          <w:rFonts w:eastAsia="Times New Roman" w:cstheme="minorHAnsi"/>
          <w:b/>
          <w:bCs/>
          <w:szCs w:val="24"/>
          <w:lang w:val="en-GB"/>
        </w:rPr>
        <w:t>FOR</w:t>
      </w:r>
    </w:p>
    <w:p w:rsidR="00C236E1" w:rsidRDefault="00C236E1" w:rsidP="00C236E1">
      <w:pPr>
        <w:spacing w:after="0" w:line="240" w:lineRule="auto"/>
        <w:ind w:firstLine="720"/>
        <w:jc w:val="center"/>
        <w:rPr>
          <w:rFonts w:eastAsia="Times New Roman" w:cstheme="minorHAnsi"/>
          <w:b/>
          <w:bCs/>
          <w:szCs w:val="24"/>
          <w:lang w:val="en-GB"/>
        </w:rPr>
      </w:pPr>
    </w:p>
    <w:p w:rsidR="00C236E1" w:rsidRPr="0028485E" w:rsidRDefault="00C236E1" w:rsidP="00C236E1">
      <w:pPr>
        <w:spacing w:after="0" w:line="240" w:lineRule="auto"/>
        <w:jc w:val="center"/>
        <w:rPr>
          <w:rFonts w:eastAsia="Times New Roman" w:cstheme="minorHAnsi"/>
          <w:b/>
          <w:bCs/>
          <w:szCs w:val="24"/>
          <w:lang w:val="en-GB"/>
        </w:rPr>
      </w:pPr>
      <w:r w:rsidRPr="00CD614D">
        <w:rPr>
          <w:rFonts w:eastAsia="Times New Roman" w:cstheme="minorHAnsi"/>
          <w:b/>
          <w:bCs/>
          <w:szCs w:val="24"/>
          <w:lang w:val="en-GB"/>
        </w:rPr>
        <w:t xml:space="preserve">O’CONNELL STREET </w:t>
      </w:r>
      <w:r>
        <w:rPr>
          <w:rFonts w:eastAsia="Times New Roman" w:cstheme="minorHAnsi"/>
          <w:b/>
          <w:bCs/>
          <w:szCs w:val="24"/>
          <w:lang w:val="en-GB"/>
        </w:rPr>
        <w:t>AND ENVIRONS 2022</w:t>
      </w:r>
    </w:p>
    <w:p w:rsidR="00C236E1" w:rsidRPr="0028485E" w:rsidRDefault="00C236E1" w:rsidP="00C236E1">
      <w:pPr>
        <w:spacing w:after="0" w:line="240" w:lineRule="auto"/>
        <w:jc w:val="both"/>
        <w:rPr>
          <w:rFonts w:eastAsia="Times New Roman" w:cstheme="minorHAnsi"/>
          <w:b/>
          <w:szCs w:val="20"/>
          <w:lang w:val="en-GB"/>
        </w:rPr>
      </w:pPr>
    </w:p>
    <w:p w:rsidR="00C236E1" w:rsidRDefault="00C236E1" w:rsidP="00C236E1">
      <w:pPr>
        <w:spacing w:after="0" w:line="240" w:lineRule="auto"/>
        <w:ind w:left="480"/>
        <w:jc w:val="both"/>
        <w:rPr>
          <w:rFonts w:eastAsia="Times New Roman" w:cstheme="minorHAnsi"/>
          <w:szCs w:val="24"/>
          <w:lang w:val="en-GB"/>
        </w:rPr>
      </w:pPr>
      <w:r w:rsidRPr="0028485E">
        <w:rPr>
          <w:rFonts w:eastAsia="Times New Roman" w:cstheme="minorHAnsi"/>
          <w:szCs w:val="24"/>
          <w:lang w:val="en-GB"/>
        </w:rPr>
        <w:t xml:space="preserve">Notice is hereby given pursuant to Sections 85 and 86 of the Planning and Development Act 2000 as amended that Dublin City Council has </w:t>
      </w:r>
      <w:r>
        <w:rPr>
          <w:rFonts w:eastAsia="Times New Roman" w:cstheme="minorHAnsi"/>
          <w:szCs w:val="24"/>
          <w:lang w:val="en-GB"/>
        </w:rPr>
        <w:t xml:space="preserve">approved the </w:t>
      </w:r>
      <w:r w:rsidRPr="0028485E">
        <w:rPr>
          <w:rFonts w:eastAsia="Times New Roman" w:cstheme="minorHAnsi"/>
          <w:szCs w:val="24"/>
          <w:lang w:val="en-GB"/>
        </w:rPr>
        <w:t>Scheme of Special Planning Control</w:t>
      </w:r>
      <w:r>
        <w:rPr>
          <w:rFonts w:eastAsia="Times New Roman" w:cstheme="minorHAnsi"/>
          <w:szCs w:val="24"/>
          <w:lang w:val="en-GB"/>
        </w:rPr>
        <w:t xml:space="preserve"> (SSPC)</w:t>
      </w:r>
      <w:r w:rsidRPr="0028485E">
        <w:rPr>
          <w:rFonts w:eastAsia="Times New Roman" w:cstheme="minorHAnsi"/>
          <w:szCs w:val="24"/>
          <w:lang w:val="en-GB"/>
        </w:rPr>
        <w:t xml:space="preserve"> for </w:t>
      </w:r>
      <w:r w:rsidRPr="00CD614D">
        <w:rPr>
          <w:rFonts w:eastAsia="Times New Roman" w:cstheme="minorHAnsi"/>
          <w:szCs w:val="24"/>
          <w:lang w:val="en-GB"/>
        </w:rPr>
        <w:t>O’Connell Street</w:t>
      </w:r>
      <w:r>
        <w:rPr>
          <w:rFonts w:eastAsia="Times New Roman" w:cstheme="minorHAnsi"/>
          <w:szCs w:val="24"/>
          <w:lang w:val="en-GB"/>
        </w:rPr>
        <w:t xml:space="preserve"> and Environs on </w:t>
      </w:r>
      <w:r w:rsidRPr="00C236E1">
        <w:rPr>
          <w:rFonts w:eastAsia="Times New Roman" w:cstheme="minorHAnsi"/>
          <w:szCs w:val="24"/>
          <w:highlight w:val="yellow"/>
          <w:lang w:val="en-GB"/>
        </w:rPr>
        <w:t>3</w:t>
      </w:r>
      <w:r w:rsidRPr="00C236E1">
        <w:rPr>
          <w:rFonts w:eastAsia="Times New Roman" w:cstheme="minorHAnsi"/>
          <w:szCs w:val="24"/>
          <w:highlight w:val="yellow"/>
          <w:vertAlign w:val="superscript"/>
          <w:lang w:val="en-GB"/>
        </w:rPr>
        <w:t>rd</w:t>
      </w:r>
      <w:r w:rsidRPr="00C236E1">
        <w:rPr>
          <w:rFonts w:eastAsia="Times New Roman" w:cstheme="minorHAnsi"/>
          <w:szCs w:val="24"/>
          <w:highlight w:val="yellow"/>
          <w:lang w:val="en-GB"/>
        </w:rPr>
        <w:t xml:space="preserve"> October</w:t>
      </w:r>
      <w:r>
        <w:rPr>
          <w:rFonts w:eastAsia="Times New Roman" w:cstheme="minorHAnsi"/>
          <w:szCs w:val="24"/>
          <w:lang w:val="en-GB"/>
        </w:rPr>
        <w:t xml:space="preserve"> 2022. The SSPC shall remain in operation for six years. </w:t>
      </w:r>
    </w:p>
    <w:p w:rsidR="00E1584A" w:rsidRDefault="00E1584A" w:rsidP="00C236E1">
      <w:pPr>
        <w:spacing w:after="0" w:line="240" w:lineRule="auto"/>
        <w:ind w:left="480"/>
        <w:jc w:val="both"/>
        <w:rPr>
          <w:rFonts w:eastAsia="Times New Roman" w:cstheme="minorHAnsi"/>
          <w:szCs w:val="24"/>
          <w:lang w:val="en-GB"/>
        </w:rPr>
      </w:pPr>
    </w:p>
    <w:p w:rsidR="00E1584A" w:rsidRPr="00E1584A" w:rsidRDefault="00E1584A" w:rsidP="00E1584A">
      <w:pPr>
        <w:spacing w:after="0" w:line="240" w:lineRule="auto"/>
        <w:ind w:left="480"/>
        <w:jc w:val="both"/>
        <w:rPr>
          <w:rFonts w:eastAsia="Times New Roman" w:cstheme="minorHAnsi"/>
          <w:szCs w:val="24"/>
          <w:lang w:val="en-GB"/>
        </w:rPr>
      </w:pPr>
      <w:r>
        <w:rPr>
          <w:rFonts w:eastAsia="Times New Roman" w:cstheme="minorHAnsi"/>
          <w:szCs w:val="24"/>
          <w:lang w:val="en-GB"/>
        </w:rPr>
        <w:t xml:space="preserve">The approved SSPC </w:t>
      </w:r>
      <w:r w:rsidRPr="00E1584A">
        <w:rPr>
          <w:rFonts w:eastAsia="Times New Roman" w:cstheme="minorHAnsi"/>
          <w:szCs w:val="24"/>
          <w:lang w:val="en-GB"/>
        </w:rPr>
        <w:t>include</w:t>
      </w:r>
      <w:r>
        <w:rPr>
          <w:rFonts w:eastAsia="Times New Roman" w:cstheme="minorHAnsi"/>
          <w:szCs w:val="24"/>
          <w:lang w:val="en-GB"/>
        </w:rPr>
        <w:t>s</w:t>
      </w:r>
      <w:r w:rsidRPr="00E1584A">
        <w:rPr>
          <w:rFonts w:eastAsia="Times New Roman" w:cstheme="minorHAnsi"/>
          <w:szCs w:val="24"/>
          <w:lang w:val="en-GB"/>
        </w:rPr>
        <w:t xml:space="preserve"> several text changes, to ensure consistency with t</w:t>
      </w:r>
      <w:r>
        <w:rPr>
          <w:rFonts w:eastAsia="Times New Roman" w:cstheme="minorHAnsi"/>
          <w:szCs w:val="24"/>
          <w:lang w:val="en-GB"/>
        </w:rPr>
        <w:t xml:space="preserve">he Dublin City Development Plan </w:t>
      </w:r>
      <w:r w:rsidR="00BD0F9E">
        <w:rPr>
          <w:rFonts w:eastAsia="Times New Roman" w:cstheme="minorHAnsi"/>
          <w:szCs w:val="24"/>
          <w:lang w:val="en-GB"/>
        </w:rPr>
        <w:t xml:space="preserve">and </w:t>
      </w:r>
      <w:r w:rsidRPr="00E1584A">
        <w:rPr>
          <w:rFonts w:eastAsia="Times New Roman" w:cstheme="minorHAnsi"/>
          <w:szCs w:val="24"/>
          <w:lang w:val="en-GB"/>
        </w:rPr>
        <w:t>consider</w:t>
      </w:r>
      <w:r w:rsidR="00BD0F9E">
        <w:rPr>
          <w:rFonts w:eastAsia="Times New Roman" w:cstheme="minorHAnsi"/>
          <w:szCs w:val="24"/>
          <w:lang w:val="en-GB"/>
        </w:rPr>
        <w:t>s</w:t>
      </w:r>
      <w:r w:rsidRPr="00E1584A">
        <w:rPr>
          <w:rFonts w:eastAsia="Times New Roman" w:cstheme="minorHAnsi"/>
          <w:szCs w:val="24"/>
          <w:lang w:val="en-GB"/>
        </w:rPr>
        <w:t xml:space="preserve"> wider planning policy and economic changes that have occurred since the </w:t>
      </w:r>
      <w:r w:rsidR="00BD0F9E">
        <w:rPr>
          <w:rFonts w:eastAsia="Times New Roman" w:cstheme="minorHAnsi"/>
          <w:szCs w:val="24"/>
          <w:lang w:val="en-GB"/>
        </w:rPr>
        <w:t xml:space="preserve">previous </w:t>
      </w:r>
      <w:r w:rsidRPr="00E1584A">
        <w:rPr>
          <w:rFonts w:eastAsia="Times New Roman" w:cstheme="minorHAnsi"/>
          <w:szCs w:val="24"/>
          <w:lang w:val="en-GB"/>
        </w:rPr>
        <w:t>SSPC was adopted.</w:t>
      </w:r>
    </w:p>
    <w:p w:rsidR="00E1584A" w:rsidRPr="00E1584A" w:rsidRDefault="00E1584A" w:rsidP="00E1584A">
      <w:pPr>
        <w:spacing w:after="0" w:line="240" w:lineRule="auto"/>
        <w:ind w:left="480"/>
        <w:jc w:val="both"/>
        <w:rPr>
          <w:rFonts w:eastAsia="Times New Roman" w:cstheme="minorHAnsi"/>
          <w:szCs w:val="24"/>
          <w:lang w:val="en-GB"/>
        </w:rPr>
      </w:pPr>
    </w:p>
    <w:p w:rsidR="00E1584A" w:rsidRPr="00E1584A" w:rsidRDefault="00E1584A" w:rsidP="00E1584A">
      <w:pPr>
        <w:spacing w:after="0" w:line="240" w:lineRule="auto"/>
        <w:ind w:left="480"/>
        <w:jc w:val="both"/>
        <w:rPr>
          <w:rFonts w:eastAsia="Times New Roman" w:cstheme="minorHAnsi"/>
          <w:szCs w:val="24"/>
          <w:lang w:val="en-GB"/>
        </w:rPr>
      </w:pPr>
      <w:r w:rsidRPr="00E1584A">
        <w:rPr>
          <w:rFonts w:eastAsia="Times New Roman" w:cstheme="minorHAnsi"/>
          <w:szCs w:val="24"/>
          <w:lang w:val="en-GB"/>
        </w:rPr>
        <w:t>The changes proposed include:</w:t>
      </w:r>
    </w:p>
    <w:p w:rsidR="00E1584A" w:rsidRPr="00BD0F9E" w:rsidRDefault="00E1584A" w:rsidP="00BD0F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Cs w:val="24"/>
          <w:lang w:val="en-GB"/>
        </w:rPr>
      </w:pPr>
      <w:r w:rsidRPr="00BD0F9E">
        <w:rPr>
          <w:rFonts w:eastAsia="Times New Roman" w:cstheme="minorHAnsi"/>
          <w:szCs w:val="24"/>
          <w:lang w:val="en-GB"/>
        </w:rPr>
        <w:t xml:space="preserve">Updates to general land use controls. </w:t>
      </w:r>
    </w:p>
    <w:p w:rsidR="00E1584A" w:rsidRPr="00BD0F9E" w:rsidRDefault="00E1584A" w:rsidP="00BD0F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Cs w:val="24"/>
          <w:lang w:val="en-GB"/>
        </w:rPr>
      </w:pPr>
      <w:r w:rsidRPr="00BD0F9E">
        <w:rPr>
          <w:rFonts w:eastAsia="Times New Roman" w:cstheme="minorHAnsi"/>
          <w:szCs w:val="24"/>
          <w:lang w:val="en-GB"/>
        </w:rPr>
        <w:t>Updates to street-specific land uses in the permitted, open for consideration, and non-permissible categories.</w:t>
      </w:r>
    </w:p>
    <w:p w:rsidR="00E1584A" w:rsidRPr="00BD0F9E" w:rsidRDefault="00E1584A" w:rsidP="00BD0F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Cs w:val="24"/>
          <w:lang w:val="en-GB"/>
        </w:rPr>
      </w:pPr>
      <w:r w:rsidRPr="00BD0F9E">
        <w:rPr>
          <w:rFonts w:eastAsia="Times New Roman" w:cstheme="minorHAnsi"/>
          <w:szCs w:val="24"/>
          <w:lang w:val="en-GB"/>
        </w:rPr>
        <w:t>Text changes, to include updated objectives.</w:t>
      </w:r>
    </w:p>
    <w:p w:rsidR="00E1584A" w:rsidRDefault="00E1584A" w:rsidP="00C236E1">
      <w:pPr>
        <w:spacing w:after="0" w:line="240" w:lineRule="auto"/>
        <w:jc w:val="both"/>
        <w:rPr>
          <w:rFonts w:eastAsia="Times New Roman" w:cstheme="minorHAnsi"/>
          <w:szCs w:val="24"/>
          <w:lang w:val="en-GB"/>
        </w:rPr>
      </w:pPr>
    </w:p>
    <w:p w:rsidR="00C236E1" w:rsidRPr="0028485E" w:rsidRDefault="00C236E1" w:rsidP="00C236E1">
      <w:pPr>
        <w:spacing w:after="0" w:line="240" w:lineRule="auto"/>
        <w:ind w:left="480"/>
        <w:jc w:val="both"/>
        <w:rPr>
          <w:rFonts w:eastAsia="Times New Roman" w:cstheme="minorHAnsi"/>
          <w:szCs w:val="24"/>
          <w:lang w:val="en-GB"/>
        </w:rPr>
      </w:pPr>
      <w:r w:rsidRPr="0028485E">
        <w:rPr>
          <w:rFonts w:eastAsia="Times New Roman" w:cstheme="minorHAnsi"/>
          <w:szCs w:val="24"/>
          <w:lang w:val="en-GB"/>
        </w:rPr>
        <w:t xml:space="preserve">The physical area covered by the </w:t>
      </w:r>
      <w:r w:rsidR="00E1584A">
        <w:rPr>
          <w:rFonts w:eastAsia="Times New Roman" w:cstheme="minorHAnsi"/>
          <w:szCs w:val="24"/>
          <w:lang w:val="en-GB"/>
        </w:rPr>
        <w:t>approved</w:t>
      </w:r>
      <w:r w:rsidRPr="0028485E">
        <w:rPr>
          <w:rFonts w:eastAsia="Times New Roman" w:cstheme="minorHAnsi"/>
          <w:szCs w:val="24"/>
          <w:lang w:val="en-GB"/>
        </w:rPr>
        <w:t xml:space="preserve"> S</w:t>
      </w:r>
      <w:r w:rsidR="00E1584A">
        <w:rPr>
          <w:rFonts w:eastAsia="Times New Roman" w:cstheme="minorHAnsi"/>
          <w:szCs w:val="24"/>
          <w:lang w:val="en-GB"/>
        </w:rPr>
        <w:t>SPC</w:t>
      </w:r>
      <w:r w:rsidRPr="0028485E">
        <w:rPr>
          <w:rFonts w:eastAsia="Times New Roman" w:cstheme="minorHAnsi"/>
          <w:szCs w:val="24"/>
          <w:lang w:val="en-GB"/>
        </w:rPr>
        <w:t xml:space="preserve"> is identical to the </w:t>
      </w:r>
      <w:r w:rsidRPr="00CD614D">
        <w:rPr>
          <w:rFonts w:eastAsia="Times New Roman" w:cstheme="minorHAnsi"/>
          <w:szCs w:val="24"/>
          <w:lang w:val="en-GB"/>
        </w:rPr>
        <w:t>O’Connell Street</w:t>
      </w:r>
      <w:r w:rsidRPr="0028485E">
        <w:rPr>
          <w:rFonts w:eastAsia="Times New Roman" w:cstheme="minorHAnsi"/>
          <w:szCs w:val="24"/>
          <w:lang w:val="en-GB"/>
        </w:rPr>
        <w:t xml:space="preserve"> Architectural Conservation Area</w:t>
      </w:r>
      <w:r w:rsidRPr="0028485E">
        <w:rPr>
          <w:rFonts w:eastAsia="Times New Roman" w:cstheme="minorHAnsi"/>
          <w:color w:val="000000"/>
          <w:szCs w:val="24"/>
          <w:lang w:val="en-GB"/>
        </w:rPr>
        <w:t>.</w:t>
      </w:r>
      <w:r w:rsidRPr="0028485E">
        <w:rPr>
          <w:rFonts w:eastAsia="Times New Roman" w:cstheme="minorHAnsi"/>
          <w:lang w:val="en-GB"/>
        </w:rPr>
        <w:t xml:space="preserve">  </w:t>
      </w:r>
    </w:p>
    <w:p w:rsidR="00C236E1" w:rsidRPr="0028485E" w:rsidRDefault="00C236E1" w:rsidP="00C236E1">
      <w:pPr>
        <w:spacing w:after="0" w:line="240" w:lineRule="auto"/>
        <w:jc w:val="both"/>
        <w:rPr>
          <w:rFonts w:eastAsia="Times New Roman" w:cstheme="minorHAnsi"/>
          <w:szCs w:val="24"/>
          <w:lang w:val="en-GB"/>
        </w:rPr>
      </w:pPr>
    </w:p>
    <w:p w:rsidR="00C236E1" w:rsidRDefault="00C236E1" w:rsidP="00C236E1">
      <w:pPr>
        <w:spacing w:after="0" w:line="240" w:lineRule="auto"/>
        <w:ind w:left="480"/>
        <w:jc w:val="both"/>
        <w:rPr>
          <w:rFonts w:eastAsia="Times New Roman" w:cstheme="minorHAnsi"/>
          <w:szCs w:val="24"/>
          <w:lang w:val="en-GB"/>
        </w:rPr>
      </w:pPr>
      <w:r>
        <w:rPr>
          <w:rFonts w:eastAsia="Times New Roman" w:cstheme="minorHAnsi"/>
          <w:szCs w:val="24"/>
          <w:lang w:val="en-GB"/>
        </w:rPr>
        <w:t>The approved SSPC</w:t>
      </w:r>
      <w:r w:rsidRPr="0028485E">
        <w:rPr>
          <w:rFonts w:eastAsia="Times New Roman" w:cstheme="minorHAnsi"/>
          <w:szCs w:val="24"/>
          <w:lang w:val="en-GB"/>
        </w:rPr>
        <w:t xml:space="preserve">, together with the respective </w:t>
      </w:r>
      <w:r w:rsidRPr="00CD614D">
        <w:rPr>
          <w:rFonts w:eastAsia="Times New Roman" w:cstheme="minorHAnsi"/>
          <w:szCs w:val="24"/>
          <w:lang w:val="en-GB"/>
        </w:rPr>
        <w:t>Strategic Environmental Assessment (</w:t>
      </w:r>
      <w:r w:rsidRPr="0028485E">
        <w:rPr>
          <w:rFonts w:eastAsia="Times New Roman" w:cstheme="minorHAnsi"/>
          <w:szCs w:val="24"/>
          <w:lang w:val="en-GB"/>
        </w:rPr>
        <w:t>SEA</w:t>
      </w:r>
      <w:r w:rsidRPr="00CD614D">
        <w:rPr>
          <w:rFonts w:eastAsia="Times New Roman" w:cstheme="minorHAnsi"/>
          <w:szCs w:val="24"/>
          <w:lang w:val="en-GB"/>
        </w:rPr>
        <w:t>)</w:t>
      </w:r>
      <w:r w:rsidRPr="0028485E">
        <w:rPr>
          <w:rFonts w:eastAsia="Times New Roman" w:cstheme="minorHAnsi"/>
          <w:szCs w:val="24"/>
          <w:lang w:val="en-GB"/>
        </w:rPr>
        <w:t xml:space="preserve"> and </w:t>
      </w:r>
      <w:r w:rsidRPr="00CD614D">
        <w:rPr>
          <w:rFonts w:eastAsia="Times New Roman" w:cstheme="minorHAnsi"/>
          <w:szCs w:val="24"/>
          <w:lang w:val="en-GB"/>
        </w:rPr>
        <w:t>Appropriate Assessment (</w:t>
      </w:r>
      <w:r w:rsidRPr="0028485E">
        <w:rPr>
          <w:rFonts w:eastAsia="Times New Roman" w:cstheme="minorHAnsi"/>
          <w:szCs w:val="24"/>
          <w:lang w:val="en-GB"/>
        </w:rPr>
        <w:t>AA</w:t>
      </w:r>
      <w:r w:rsidRPr="00CD614D">
        <w:rPr>
          <w:rFonts w:eastAsia="Times New Roman" w:cstheme="minorHAnsi"/>
          <w:szCs w:val="24"/>
          <w:lang w:val="en-GB"/>
        </w:rPr>
        <w:t>)</w:t>
      </w:r>
      <w:r w:rsidRPr="0028485E">
        <w:rPr>
          <w:rFonts w:eastAsia="Times New Roman" w:cstheme="minorHAnsi"/>
          <w:szCs w:val="24"/>
          <w:lang w:val="en-GB"/>
        </w:rPr>
        <w:t xml:space="preserve"> screening reports</w:t>
      </w:r>
      <w:r>
        <w:rPr>
          <w:rFonts w:eastAsia="Times New Roman" w:cstheme="minorHAnsi"/>
          <w:szCs w:val="24"/>
          <w:lang w:val="en-GB"/>
        </w:rPr>
        <w:t xml:space="preserve"> and determinations</w:t>
      </w:r>
      <w:r w:rsidRPr="00CD614D">
        <w:rPr>
          <w:rFonts w:eastAsia="Times New Roman" w:cstheme="minorHAnsi"/>
          <w:szCs w:val="24"/>
          <w:lang w:val="en-GB"/>
        </w:rPr>
        <w:t xml:space="preserve"> and Strategic Flood Risk Assessment (SFRA)</w:t>
      </w:r>
      <w:r w:rsidRPr="0028485E">
        <w:rPr>
          <w:rFonts w:eastAsia="Times New Roman" w:cstheme="minorHAnsi"/>
          <w:szCs w:val="24"/>
          <w:lang w:val="en-GB"/>
        </w:rPr>
        <w:t xml:space="preserve">, </w:t>
      </w:r>
      <w:r>
        <w:rPr>
          <w:rFonts w:eastAsia="Times New Roman" w:cstheme="minorHAnsi"/>
          <w:szCs w:val="24"/>
          <w:lang w:val="en-GB"/>
        </w:rPr>
        <w:t xml:space="preserve">are available to view at </w:t>
      </w:r>
      <w:r w:rsidRPr="00CD614D">
        <w:rPr>
          <w:rFonts w:eastAsia="Times New Roman" w:cstheme="minorHAnsi"/>
          <w:szCs w:val="24"/>
          <w:lang w:val="en-GB"/>
        </w:rPr>
        <w:t>the offices of Dublin City Council, Ground floor, Block 4, Civic Offices, Wood Quay, Dublin 8 during public opening hours, Monday – Friday 9.00am to 4.30</w:t>
      </w:r>
      <w:r>
        <w:rPr>
          <w:rFonts w:eastAsia="Times New Roman" w:cstheme="minorHAnsi"/>
          <w:szCs w:val="24"/>
          <w:lang w:val="en-GB"/>
        </w:rPr>
        <w:t xml:space="preserve">pm, (excluding Bank Holidays). </w:t>
      </w:r>
    </w:p>
    <w:p w:rsidR="00C236E1" w:rsidRPr="00CD614D" w:rsidRDefault="00C236E1" w:rsidP="00C236E1">
      <w:pPr>
        <w:spacing w:after="0" w:line="240" w:lineRule="auto"/>
        <w:ind w:left="480"/>
        <w:jc w:val="both"/>
        <w:rPr>
          <w:rFonts w:eastAsia="Times New Roman" w:cstheme="minorHAnsi"/>
          <w:szCs w:val="24"/>
          <w:lang w:val="en-GB"/>
        </w:rPr>
      </w:pPr>
    </w:p>
    <w:p w:rsidR="00C236E1" w:rsidRDefault="00C236E1" w:rsidP="00C236E1">
      <w:pPr>
        <w:spacing w:after="0" w:line="240" w:lineRule="auto"/>
        <w:ind w:left="480"/>
        <w:jc w:val="both"/>
        <w:rPr>
          <w:rFonts w:eastAsia="Times New Roman" w:cstheme="minorHAnsi"/>
          <w:szCs w:val="24"/>
          <w:lang w:val="en-GB"/>
        </w:rPr>
      </w:pPr>
      <w:r w:rsidRPr="00CD614D">
        <w:rPr>
          <w:rFonts w:eastAsia="Times New Roman" w:cstheme="minorHAnsi"/>
          <w:szCs w:val="24"/>
          <w:lang w:val="en-GB"/>
        </w:rPr>
        <w:t xml:space="preserve">The </w:t>
      </w:r>
      <w:r>
        <w:rPr>
          <w:rFonts w:eastAsia="Times New Roman" w:cstheme="minorHAnsi"/>
          <w:szCs w:val="24"/>
          <w:lang w:val="en-GB"/>
        </w:rPr>
        <w:t>SSPC and associated documents</w:t>
      </w:r>
      <w:r>
        <w:rPr>
          <w:rFonts w:eastAsia="Times New Roman" w:cstheme="minorHAnsi"/>
          <w:szCs w:val="24"/>
          <w:lang w:val="en-GB"/>
        </w:rPr>
        <w:t xml:space="preserve"> </w:t>
      </w:r>
      <w:r>
        <w:rPr>
          <w:rFonts w:eastAsia="Times New Roman" w:cstheme="minorHAnsi"/>
          <w:szCs w:val="24"/>
          <w:lang w:val="en-GB"/>
        </w:rPr>
        <w:t>are</w:t>
      </w:r>
      <w:r w:rsidRPr="00CD614D">
        <w:rPr>
          <w:rFonts w:eastAsia="Times New Roman" w:cstheme="minorHAnsi"/>
          <w:szCs w:val="24"/>
          <w:lang w:val="en-GB"/>
        </w:rPr>
        <w:t xml:space="preserve"> also be available </w:t>
      </w:r>
      <w:r>
        <w:rPr>
          <w:rFonts w:eastAsia="Times New Roman" w:cstheme="minorHAnsi"/>
          <w:szCs w:val="24"/>
          <w:lang w:val="en-GB"/>
        </w:rPr>
        <w:t xml:space="preserve">to download </w:t>
      </w:r>
      <w:r w:rsidRPr="00CD614D">
        <w:rPr>
          <w:rFonts w:eastAsia="Times New Roman" w:cstheme="minorHAnsi"/>
          <w:szCs w:val="24"/>
          <w:lang w:val="en-GB"/>
        </w:rPr>
        <w:t xml:space="preserve">on the City Council’s website </w:t>
      </w:r>
      <w:hyperlink r:id="rId5" w:history="1">
        <w:r w:rsidRPr="0032315A">
          <w:rPr>
            <w:rStyle w:val="Hyperlink"/>
            <w:rFonts w:eastAsia="Times New Roman" w:cstheme="minorHAnsi"/>
            <w:szCs w:val="24"/>
            <w:lang w:val="en-GB"/>
          </w:rPr>
          <w:t>https://www.dublincity.ie</w:t>
        </w:r>
      </w:hyperlink>
      <w:r>
        <w:rPr>
          <w:rFonts w:eastAsia="Times New Roman" w:cstheme="minorHAnsi"/>
          <w:szCs w:val="24"/>
          <w:lang w:val="en-GB"/>
        </w:rPr>
        <w:t xml:space="preserve">. </w:t>
      </w:r>
    </w:p>
    <w:p w:rsidR="00C236E1" w:rsidRPr="00CD614D" w:rsidRDefault="00C236E1" w:rsidP="00C236E1">
      <w:pPr>
        <w:spacing w:after="0" w:line="240" w:lineRule="auto"/>
        <w:ind w:left="480"/>
        <w:jc w:val="both"/>
        <w:rPr>
          <w:rFonts w:eastAsia="Times New Roman" w:cstheme="minorHAnsi"/>
          <w:szCs w:val="24"/>
          <w:lang w:val="en-GB"/>
        </w:rPr>
      </w:pPr>
    </w:p>
    <w:p w:rsidR="001A039B" w:rsidRDefault="00BD0F9E">
      <w:bookmarkStart w:id="0" w:name="_GoBack"/>
      <w:bookmarkEnd w:id="0"/>
    </w:p>
    <w:sectPr w:rsidR="001A0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45146"/>
    <w:multiLevelType w:val="hybridMultilevel"/>
    <w:tmpl w:val="52A050E0"/>
    <w:lvl w:ilvl="0" w:tplc="3F8AE6FE">
      <w:numFmt w:val="bullet"/>
      <w:lvlText w:val="•"/>
      <w:lvlJc w:val="left"/>
      <w:pPr>
        <w:ind w:left="13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82F12B8"/>
    <w:multiLevelType w:val="hybridMultilevel"/>
    <w:tmpl w:val="6026F1E8"/>
    <w:lvl w:ilvl="0" w:tplc="3F8AE6FE">
      <w:numFmt w:val="bullet"/>
      <w:lvlText w:val="•"/>
      <w:lvlJc w:val="left"/>
      <w:pPr>
        <w:ind w:left="84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63091FCD"/>
    <w:multiLevelType w:val="hybridMultilevel"/>
    <w:tmpl w:val="7CC8A02E"/>
    <w:lvl w:ilvl="0" w:tplc="1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E1"/>
    <w:rsid w:val="004F411D"/>
    <w:rsid w:val="006527E3"/>
    <w:rsid w:val="00B62630"/>
    <w:rsid w:val="00BD0F9E"/>
    <w:rsid w:val="00C236E1"/>
    <w:rsid w:val="00E1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6AE2B"/>
  <w15:chartTrackingRefBased/>
  <w15:docId w15:val="{7A96993A-F764-49F3-A5D3-85B35CAD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6E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0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ublincity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Fergus Browne</dc:creator>
  <cp:keywords/>
  <dc:description/>
  <cp:lastModifiedBy>Fergus Browne</cp:lastModifiedBy>
  <cp:revision>2</cp:revision>
  <dcterms:created xsi:type="dcterms:W3CDTF">2022-09-28T08:30:00Z</dcterms:created>
  <dcterms:modified xsi:type="dcterms:W3CDTF">2022-09-28T08:52:00Z</dcterms:modified>
</cp:coreProperties>
</file>