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474" w:rsidRPr="00AC0474" w:rsidRDefault="00AC0474" w:rsidP="00AC0474">
      <w:pPr>
        <w:pStyle w:val="Heading1"/>
        <w:rPr>
          <w:rFonts w:ascii="Arial" w:hAnsi="Arial" w:cs="Arial"/>
          <w:noProof/>
          <w:u w:val="none"/>
          <w:lang w:eastAsia="en-IE"/>
        </w:rPr>
      </w:pPr>
      <w:r w:rsidRPr="00AC0474">
        <w:rPr>
          <w:rFonts w:ascii="Arial" w:hAnsi="Arial" w:cs="Arial"/>
          <w:noProof/>
          <w:u w:val="none"/>
          <w:lang w:val="en-IE" w:eastAsia="en-IE"/>
        </w:rPr>
        <w:drawing>
          <wp:inline distT="0" distB="0" distL="0" distR="0" wp14:anchorId="2137710E" wp14:editId="66F8E7CC">
            <wp:extent cx="1943100" cy="514350"/>
            <wp:effectExtent l="0" t="0" r="0" b="0"/>
            <wp:docPr id="3" name="Picture 3" descr="DCC_RGB[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_RGB[1][1].pn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943100" cy="514350"/>
                    </a:xfrm>
                    <a:prstGeom prst="rect">
                      <a:avLst/>
                    </a:prstGeom>
                    <a:noFill/>
                    <a:ln>
                      <a:noFill/>
                    </a:ln>
                  </pic:spPr>
                </pic:pic>
              </a:graphicData>
            </a:graphic>
          </wp:inline>
        </w:drawing>
      </w:r>
    </w:p>
    <w:p w:rsidR="00AC0474" w:rsidRDefault="00AC0474" w:rsidP="00AC0474">
      <w:pPr>
        <w:pStyle w:val="Heading1"/>
        <w:jc w:val="center"/>
        <w:rPr>
          <w:rFonts w:ascii="Arial" w:hAnsi="Arial" w:cs="Arial"/>
          <w:noProof/>
          <w:lang w:eastAsia="en-IE"/>
        </w:rPr>
      </w:pPr>
    </w:p>
    <w:p w:rsidR="00AC0474" w:rsidRDefault="00AC0474" w:rsidP="00AC0474">
      <w:pPr>
        <w:pStyle w:val="Heading1"/>
        <w:jc w:val="center"/>
        <w:rPr>
          <w:rFonts w:ascii="Arial" w:hAnsi="Arial" w:cs="Arial"/>
          <w:noProof/>
          <w:lang w:eastAsia="en-IE"/>
        </w:rPr>
      </w:pPr>
    </w:p>
    <w:p w:rsidR="00AC0474" w:rsidRPr="00996EDD" w:rsidRDefault="00AC0474" w:rsidP="00AC0474">
      <w:pPr>
        <w:pStyle w:val="Heading1"/>
        <w:jc w:val="center"/>
        <w:rPr>
          <w:rFonts w:ascii="Arial" w:hAnsi="Arial" w:cs="Arial"/>
          <w:color w:val="000000"/>
          <w:sz w:val="22"/>
          <w:szCs w:val="22"/>
          <w:u w:val="none"/>
        </w:rPr>
      </w:pPr>
      <w:r w:rsidRPr="00996EDD">
        <w:rPr>
          <w:rFonts w:ascii="Arial" w:hAnsi="Arial" w:cs="Arial"/>
          <w:color w:val="000000"/>
          <w:sz w:val="22"/>
          <w:szCs w:val="22"/>
          <w:u w:val="none"/>
        </w:rPr>
        <w:t>Dublin City Council</w:t>
      </w:r>
    </w:p>
    <w:p w:rsidR="00AC0474" w:rsidRPr="00996EDD" w:rsidRDefault="00AC0474" w:rsidP="00AC0474">
      <w:pPr>
        <w:pStyle w:val="Heading1"/>
        <w:jc w:val="center"/>
        <w:rPr>
          <w:rFonts w:ascii="Arial" w:hAnsi="Arial" w:cs="Arial"/>
          <w:color w:val="000000"/>
          <w:sz w:val="22"/>
          <w:szCs w:val="22"/>
          <w:u w:val="none"/>
        </w:rPr>
      </w:pPr>
      <w:r>
        <w:rPr>
          <w:rFonts w:ascii="Arial" w:hAnsi="Arial" w:cs="Arial"/>
          <w:color w:val="000000"/>
          <w:sz w:val="22"/>
          <w:szCs w:val="22"/>
          <w:u w:val="none"/>
        </w:rPr>
        <w:t xml:space="preserve"> </w:t>
      </w:r>
      <w:r w:rsidRPr="00996EDD">
        <w:rPr>
          <w:rFonts w:ascii="Arial" w:hAnsi="Arial" w:cs="Arial"/>
          <w:color w:val="000000"/>
          <w:sz w:val="22"/>
          <w:szCs w:val="22"/>
          <w:u w:val="none"/>
        </w:rPr>
        <w:t xml:space="preserve">Development Contribution Scheme </w:t>
      </w:r>
      <w:r w:rsidRPr="006B491D">
        <w:rPr>
          <w:rFonts w:ascii="Arial" w:hAnsi="Arial" w:cs="Arial"/>
          <w:color w:val="000000"/>
          <w:sz w:val="22"/>
          <w:szCs w:val="22"/>
          <w:u w:val="none"/>
        </w:rPr>
        <w:t>202</w:t>
      </w:r>
      <w:r>
        <w:rPr>
          <w:rFonts w:ascii="Arial" w:hAnsi="Arial" w:cs="Arial"/>
          <w:color w:val="000000"/>
          <w:sz w:val="22"/>
          <w:szCs w:val="22"/>
          <w:u w:val="none"/>
        </w:rPr>
        <w:t>3-2026</w:t>
      </w:r>
    </w:p>
    <w:p w:rsidR="00AC0474" w:rsidRPr="00996EDD" w:rsidRDefault="00AC0474" w:rsidP="00AC0474">
      <w:pPr>
        <w:jc w:val="center"/>
        <w:rPr>
          <w:rFonts w:ascii="Arial" w:hAnsi="Arial" w:cs="Arial"/>
          <w:color w:val="000000"/>
        </w:rPr>
      </w:pPr>
    </w:p>
    <w:p w:rsidR="00AC0474" w:rsidRPr="00996EDD" w:rsidRDefault="00AC0474" w:rsidP="00AC0474">
      <w:pPr>
        <w:jc w:val="center"/>
        <w:rPr>
          <w:rFonts w:ascii="Arial" w:hAnsi="Arial" w:cs="Arial"/>
          <w:b/>
          <w:color w:val="000000"/>
        </w:rPr>
      </w:pPr>
      <w:r w:rsidRPr="00996EDD">
        <w:rPr>
          <w:rFonts w:ascii="Arial" w:hAnsi="Arial" w:cs="Arial"/>
          <w:b/>
          <w:color w:val="000000"/>
        </w:rPr>
        <w:t>(Under Section 48, Planning &amp; Development Act, 2000 as amended)</w:t>
      </w:r>
    </w:p>
    <w:p w:rsidR="00AC0474" w:rsidRPr="00996EDD" w:rsidRDefault="00AC0474" w:rsidP="00AC0474">
      <w:pPr>
        <w:pStyle w:val="Heading1"/>
        <w:jc w:val="center"/>
        <w:rPr>
          <w:rFonts w:ascii="Arial" w:hAnsi="Arial" w:cs="Arial"/>
          <w:color w:val="000000"/>
          <w:sz w:val="22"/>
          <w:szCs w:val="22"/>
          <w:u w:val="none"/>
        </w:rPr>
      </w:pPr>
    </w:p>
    <w:p w:rsidR="00AC0474" w:rsidRPr="00996EDD" w:rsidRDefault="00AC0474" w:rsidP="00AC0474">
      <w:pPr>
        <w:pStyle w:val="Heading1"/>
        <w:jc w:val="center"/>
        <w:rPr>
          <w:rFonts w:ascii="Arial" w:hAnsi="Arial" w:cs="Arial"/>
          <w:caps/>
          <w:color w:val="000000"/>
          <w:sz w:val="22"/>
          <w:szCs w:val="22"/>
          <w:u w:val="none"/>
        </w:rPr>
      </w:pPr>
      <w:r w:rsidRPr="00996EDD">
        <w:rPr>
          <w:rFonts w:ascii="Arial" w:hAnsi="Arial" w:cs="Arial"/>
          <w:caps/>
          <w:color w:val="000000"/>
          <w:sz w:val="22"/>
          <w:szCs w:val="22"/>
          <w:u w:val="none"/>
        </w:rPr>
        <w:t>Introduction</w:t>
      </w:r>
      <w:r>
        <w:rPr>
          <w:rFonts w:ascii="Arial" w:hAnsi="Arial" w:cs="Arial"/>
          <w:caps/>
          <w:color w:val="000000"/>
          <w:sz w:val="22"/>
          <w:szCs w:val="22"/>
          <w:u w:val="none"/>
        </w:rPr>
        <w:t>:</w:t>
      </w:r>
    </w:p>
    <w:p w:rsidR="00AC0474" w:rsidRPr="00996EDD" w:rsidRDefault="00AC0474" w:rsidP="00AC0474">
      <w:pPr>
        <w:pStyle w:val="BodyTextIndent3"/>
        <w:ind w:left="0"/>
        <w:jc w:val="both"/>
        <w:rPr>
          <w:rFonts w:ascii="Arial" w:hAnsi="Arial" w:cs="Arial"/>
          <w:b/>
          <w:color w:val="000000"/>
          <w:sz w:val="22"/>
          <w:szCs w:val="22"/>
          <w:lang w:val="en-GB"/>
        </w:rPr>
      </w:pPr>
    </w:p>
    <w:p w:rsidR="00AC0474" w:rsidRPr="00996EDD" w:rsidRDefault="00AC0474" w:rsidP="00AC0474">
      <w:pPr>
        <w:pStyle w:val="BodyTextIndent3"/>
        <w:ind w:left="0"/>
        <w:jc w:val="both"/>
        <w:rPr>
          <w:rFonts w:ascii="Arial" w:hAnsi="Arial" w:cs="Arial"/>
          <w:b/>
          <w:color w:val="000000"/>
          <w:sz w:val="22"/>
          <w:szCs w:val="22"/>
          <w:lang w:val="en-GB"/>
        </w:rPr>
      </w:pPr>
    </w:p>
    <w:p w:rsidR="00AC0474" w:rsidRPr="00996EDD" w:rsidRDefault="00AC0474" w:rsidP="00AC0474">
      <w:pPr>
        <w:pStyle w:val="BodyTextIndent3"/>
        <w:numPr>
          <w:ilvl w:val="0"/>
          <w:numId w:val="4"/>
        </w:numPr>
        <w:ind w:hanging="720"/>
        <w:rPr>
          <w:rFonts w:ascii="Arial" w:hAnsi="Arial" w:cs="Arial"/>
          <w:color w:val="000000"/>
          <w:sz w:val="22"/>
          <w:szCs w:val="22"/>
        </w:rPr>
      </w:pPr>
      <w:r w:rsidRPr="00996EDD">
        <w:rPr>
          <w:rFonts w:ascii="Arial" w:hAnsi="Arial" w:cs="Arial"/>
          <w:color w:val="000000"/>
          <w:sz w:val="22"/>
          <w:szCs w:val="22"/>
        </w:rPr>
        <w:t>Sub-section (1) of Section 48 of the Planning and Development Act 2000 as amended, enables a planning authority, when granting a planning permission under Section 34 of the Act, to include conditions for requiring the payment of a contribution in respect of public infrastructure and facilities benefiting development in the area of the planning authority, and that is provided, or that it is intended will be provided, by or on behalf of a local authority (regardless of other sources of funding for the infrastructure and facilities).</w:t>
      </w:r>
    </w:p>
    <w:p w:rsidR="00AC0474" w:rsidRPr="00996EDD" w:rsidRDefault="00AC0474" w:rsidP="00AC0474">
      <w:pPr>
        <w:pStyle w:val="BodyTextIndent3"/>
        <w:tabs>
          <w:tab w:val="clear" w:pos="720"/>
        </w:tabs>
        <w:ind w:left="0"/>
        <w:rPr>
          <w:rFonts w:ascii="Arial" w:hAnsi="Arial" w:cs="Arial"/>
          <w:color w:val="000000"/>
          <w:sz w:val="22"/>
          <w:szCs w:val="22"/>
        </w:rPr>
      </w:pPr>
    </w:p>
    <w:p w:rsidR="00AC0474" w:rsidRPr="00996EDD" w:rsidRDefault="00AC0474" w:rsidP="00AC0474">
      <w:pPr>
        <w:pStyle w:val="BodyTextIndent3"/>
        <w:tabs>
          <w:tab w:val="clear" w:pos="720"/>
          <w:tab w:val="num" w:pos="1418"/>
        </w:tabs>
        <w:ind w:left="720" w:hanging="720"/>
        <w:rPr>
          <w:rFonts w:ascii="Arial" w:hAnsi="Arial" w:cs="Arial"/>
          <w:color w:val="000000"/>
          <w:sz w:val="22"/>
          <w:szCs w:val="22"/>
        </w:rPr>
      </w:pPr>
      <w:r w:rsidRPr="00996EDD">
        <w:rPr>
          <w:rFonts w:ascii="Arial" w:hAnsi="Arial" w:cs="Arial"/>
          <w:color w:val="000000"/>
          <w:sz w:val="22"/>
          <w:szCs w:val="22"/>
        </w:rPr>
        <w:t>2</w:t>
      </w:r>
      <w:r w:rsidRPr="00996EDD">
        <w:rPr>
          <w:rFonts w:ascii="Arial" w:hAnsi="Arial" w:cs="Arial"/>
          <w:color w:val="000000"/>
          <w:sz w:val="22"/>
          <w:szCs w:val="22"/>
        </w:rPr>
        <w:tab/>
        <w:t>(a)</w:t>
      </w:r>
      <w:r>
        <w:rPr>
          <w:rFonts w:ascii="Arial" w:hAnsi="Arial" w:cs="Arial"/>
          <w:color w:val="000000"/>
          <w:sz w:val="22"/>
          <w:szCs w:val="22"/>
        </w:rPr>
        <w:t xml:space="preserve"> </w:t>
      </w:r>
      <w:r w:rsidRPr="00996EDD">
        <w:rPr>
          <w:rFonts w:ascii="Arial" w:hAnsi="Arial" w:cs="Arial"/>
          <w:color w:val="000000"/>
          <w:sz w:val="22"/>
          <w:szCs w:val="22"/>
        </w:rPr>
        <w:t>Subsection (2) of Section 48 requires that the basis for the determination of a      contribution under subsection (1) shall be set out in a development contribution scheme made under this section.</w:t>
      </w:r>
    </w:p>
    <w:p w:rsidR="00AC0474" w:rsidRPr="00996EDD" w:rsidRDefault="00AC0474" w:rsidP="00AC0474">
      <w:pPr>
        <w:pStyle w:val="BodyTextIndent3"/>
        <w:tabs>
          <w:tab w:val="clear" w:pos="720"/>
          <w:tab w:val="num" w:pos="1260"/>
        </w:tabs>
        <w:ind w:left="709" w:hanging="709"/>
        <w:rPr>
          <w:rFonts w:ascii="Arial" w:hAnsi="Arial" w:cs="Arial"/>
          <w:color w:val="000000"/>
          <w:sz w:val="22"/>
          <w:szCs w:val="22"/>
        </w:rPr>
      </w:pPr>
    </w:p>
    <w:p w:rsidR="00AC0474" w:rsidRPr="00996EDD" w:rsidRDefault="00AC0474" w:rsidP="00AC0474">
      <w:pPr>
        <w:pStyle w:val="BodyTextIndent3"/>
        <w:tabs>
          <w:tab w:val="clear" w:pos="720"/>
        </w:tabs>
        <w:ind w:left="720"/>
        <w:rPr>
          <w:rFonts w:ascii="Arial" w:hAnsi="Arial" w:cs="Arial"/>
          <w:color w:val="000000"/>
          <w:sz w:val="22"/>
          <w:szCs w:val="22"/>
        </w:rPr>
      </w:pPr>
      <w:r w:rsidRPr="00996EDD">
        <w:rPr>
          <w:rFonts w:ascii="Arial" w:hAnsi="Arial" w:cs="Arial"/>
          <w:color w:val="000000"/>
          <w:sz w:val="22"/>
          <w:szCs w:val="22"/>
        </w:rPr>
        <w:t>(b)</w:t>
      </w:r>
      <w:r>
        <w:rPr>
          <w:rFonts w:ascii="Arial" w:hAnsi="Arial" w:cs="Arial"/>
          <w:color w:val="000000"/>
          <w:sz w:val="22"/>
          <w:szCs w:val="22"/>
        </w:rPr>
        <w:t xml:space="preserve"> </w:t>
      </w:r>
      <w:r w:rsidRPr="00996EDD">
        <w:rPr>
          <w:rFonts w:ascii="Arial" w:hAnsi="Arial" w:cs="Arial"/>
          <w:color w:val="000000"/>
          <w:sz w:val="22"/>
          <w:szCs w:val="22"/>
        </w:rPr>
        <w:t>A scheme may make provision for payment of different contributions in respect of different classes or descriptions of development.</w:t>
      </w:r>
    </w:p>
    <w:p w:rsidR="00AC0474" w:rsidRPr="00996EDD" w:rsidRDefault="00AC0474" w:rsidP="00AC0474">
      <w:pPr>
        <w:pStyle w:val="BodyTextIndent3"/>
        <w:tabs>
          <w:tab w:val="clear" w:pos="720"/>
        </w:tabs>
        <w:ind w:left="720"/>
        <w:rPr>
          <w:rFonts w:ascii="Arial" w:hAnsi="Arial" w:cs="Arial"/>
          <w:color w:val="000000"/>
          <w:sz w:val="22"/>
          <w:szCs w:val="22"/>
        </w:rPr>
      </w:pPr>
    </w:p>
    <w:p w:rsidR="00AC0474" w:rsidRPr="00996EDD" w:rsidRDefault="00AC0474" w:rsidP="00AC0474">
      <w:pPr>
        <w:pStyle w:val="BodyTextIndent3"/>
        <w:tabs>
          <w:tab w:val="clear" w:pos="720"/>
        </w:tabs>
        <w:ind w:left="709" w:hanging="709"/>
        <w:rPr>
          <w:rFonts w:ascii="Arial" w:hAnsi="Arial" w:cs="Arial"/>
          <w:color w:val="000000"/>
          <w:sz w:val="22"/>
          <w:szCs w:val="22"/>
        </w:rPr>
      </w:pPr>
      <w:r w:rsidRPr="00996EDD">
        <w:rPr>
          <w:rFonts w:ascii="Arial" w:hAnsi="Arial" w:cs="Arial"/>
          <w:color w:val="000000"/>
          <w:sz w:val="22"/>
          <w:szCs w:val="22"/>
        </w:rPr>
        <w:t>3</w:t>
      </w:r>
      <w:r w:rsidRPr="00996EDD">
        <w:rPr>
          <w:rFonts w:ascii="Arial" w:hAnsi="Arial" w:cs="Arial"/>
          <w:color w:val="000000"/>
          <w:sz w:val="22"/>
          <w:szCs w:val="22"/>
        </w:rPr>
        <w:tab/>
        <w:t>(a)</w:t>
      </w:r>
      <w:r>
        <w:rPr>
          <w:rFonts w:ascii="Arial" w:hAnsi="Arial" w:cs="Arial"/>
          <w:color w:val="000000"/>
          <w:sz w:val="22"/>
          <w:szCs w:val="22"/>
        </w:rPr>
        <w:t xml:space="preserve"> </w:t>
      </w:r>
      <w:r w:rsidRPr="00996EDD">
        <w:rPr>
          <w:rFonts w:ascii="Arial" w:hAnsi="Arial" w:cs="Arial"/>
          <w:color w:val="000000"/>
          <w:sz w:val="22"/>
          <w:szCs w:val="22"/>
        </w:rPr>
        <w:t>Subsection (3) of Section 48 specifies that a scheme shall state the basis for determining the contributions to be paid in respect of public infrastructure and facilities, in accordance with the terms of the scheme.</w:t>
      </w:r>
    </w:p>
    <w:p w:rsidR="00AC0474" w:rsidRPr="00996EDD" w:rsidRDefault="00AC0474" w:rsidP="00AC0474">
      <w:pPr>
        <w:pStyle w:val="BodyTextIndent3"/>
        <w:tabs>
          <w:tab w:val="clear" w:pos="720"/>
        </w:tabs>
        <w:ind w:left="0"/>
        <w:rPr>
          <w:rFonts w:ascii="Arial" w:hAnsi="Arial" w:cs="Arial"/>
          <w:color w:val="000000"/>
          <w:sz w:val="22"/>
          <w:szCs w:val="22"/>
        </w:rPr>
      </w:pPr>
    </w:p>
    <w:p w:rsidR="00AC0474" w:rsidRPr="00996EDD" w:rsidRDefault="00AC0474" w:rsidP="00AC0474">
      <w:pPr>
        <w:pStyle w:val="BodyTextIndent3"/>
        <w:tabs>
          <w:tab w:val="clear" w:pos="720"/>
        </w:tabs>
        <w:ind w:left="709"/>
        <w:rPr>
          <w:rFonts w:ascii="Arial" w:hAnsi="Arial" w:cs="Arial"/>
          <w:color w:val="000000"/>
          <w:sz w:val="22"/>
          <w:szCs w:val="22"/>
        </w:rPr>
      </w:pPr>
      <w:r w:rsidRPr="00996EDD">
        <w:rPr>
          <w:rFonts w:ascii="Arial" w:hAnsi="Arial" w:cs="Arial"/>
          <w:color w:val="000000"/>
          <w:sz w:val="22"/>
          <w:szCs w:val="22"/>
        </w:rPr>
        <w:t>(b)</w:t>
      </w:r>
      <w:r>
        <w:rPr>
          <w:rFonts w:ascii="Arial" w:hAnsi="Arial" w:cs="Arial"/>
          <w:color w:val="000000"/>
          <w:sz w:val="22"/>
          <w:szCs w:val="22"/>
        </w:rPr>
        <w:t xml:space="preserve"> </w:t>
      </w:r>
      <w:r w:rsidRPr="00996EDD">
        <w:rPr>
          <w:rFonts w:ascii="Arial" w:hAnsi="Arial" w:cs="Arial"/>
          <w:color w:val="000000"/>
          <w:sz w:val="22"/>
          <w:szCs w:val="22"/>
        </w:rPr>
        <w:t>In stating the basis for determining the contributions to be paid, the scheme must indicate the contribution to be paid in respect of the different classes of public infrastructure and facilities which are provided or to be provided by any local authority and the planning authority shall have regard to the actual estimated cost of providing the classes of public infrastructure and facilities, except that any benefit which accrues in respect of existing development may not be included in any such determination.</w:t>
      </w:r>
    </w:p>
    <w:p w:rsidR="00AC0474" w:rsidRPr="00996EDD" w:rsidRDefault="00AC0474" w:rsidP="00AC0474">
      <w:pPr>
        <w:pStyle w:val="BodyTextIndent3"/>
        <w:tabs>
          <w:tab w:val="clear" w:pos="720"/>
        </w:tabs>
        <w:ind w:left="709"/>
        <w:rPr>
          <w:rFonts w:ascii="Arial" w:hAnsi="Arial" w:cs="Arial"/>
          <w:color w:val="000000"/>
          <w:sz w:val="22"/>
          <w:szCs w:val="22"/>
        </w:rPr>
      </w:pPr>
    </w:p>
    <w:p w:rsidR="00AC0474" w:rsidRPr="00996EDD" w:rsidRDefault="00AC0474" w:rsidP="00AC0474">
      <w:pPr>
        <w:pStyle w:val="BodyTextIndent3"/>
        <w:tabs>
          <w:tab w:val="clear" w:pos="720"/>
        </w:tabs>
        <w:ind w:left="709"/>
        <w:rPr>
          <w:rFonts w:ascii="Arial" w:hAnsi="Arial" w:cs="Arial"/>
          <w:color w:val="000000"/>
          <w:sz w:val="22"/>
          <w:szCs w:val="22"/>
        </w:rPr>
      </w:pPr>
      <w:r w:rsidRPr="00996EDD">
        <w:rPr>
          <w:rFonts w:ascii="Arial" w:hAnsi="Arial" w:cs="Arial"/>
          <w:color w:val="000000"/>
          <w:sz w:val="22"/>
          <w:szCs w:val="22"/>
        </w:rPr>
        <w:t>(c)</w:t>
      </w:r>
      <w:r>
        <w:rPr>
          <w:rFonts w:ascii="Arial" w:hAnsi="Arial" w:cs="Arial"/>
          <w:color w:val="000000"/>
          <w:sz w:val="22"/>
          <w:szCs w:val="22"/>
        </w:rPr>
        <w:t xml:space="preserve"> </w:t>
      </w:r>
      <w:r w:rsidRPr="00996EDD">
        <w:rPr>
          <w:rFonts w:ascii="Arial" w:hAnsi="Arial" w:cs="Arial"/>
          <w:color w:val="000000"/>
          <w:sz w:val="22"/>
          <w:szCs w:val="22"/>
        </w:rPr>
        <w:t>A scheme may allow for the payment of a reduced contribution or no contribution in certain circumstances, in accordance with the provision of the scheme.</w:t>
      </w:r>
    </w:p>
    <w:p w:rsidR="00AC0474" w:rsidRPr="00996EDD" w:rsidRDefault="00AC0474" w:rsidP="00AC0474">
      <w:pPr>
        <w:pStyle w:val="BodyTextIndent3"/>
        <w:tabs>
          <w:tab w:val="clear" w:pos="720"/>
          <w:tab w:val="num" w:pos="450"/>
          <w:tab w:val="num" w:pos="1260"/>
        </w:tabs>
        <w:ind w:left="1260" w:hanging="540"/>
        <w:rPr>
          <w:rFonts w:ascii="Arial" w:hAnsi="Arial" w:cs="Arial"/>
          <w:color w:val="000000"/>
          <w:sz w:val="22"/>
          <w:szCs w:val="22"/>
        </w:rPr>
      </w:pPr>
    </w:p>
    <w:p w:rsidR="00AC0474" w:rsidRPr="00996EDD" w:rsidRDefault="00AC0474" w:rsidP="00AC0474">
      <w:pPr>
        <w:pStyle w:val="BodyTextIndent3"/>
        <w:numPr>
          <w:ilvl w:val="0"/>
          <w:numId w:val="3"/>
        </w:numPr>
        <w:tabs>
          <w:tab w:val="clear" w:pos="360"/>
        </w:tabs>
        <w:ind w:left="720" w:hanging="720"/>
        <w:rPr>
          <w:rFonts w:ascii="Arial" w:hAnsi="Arial" w:cs="Arial"/>
          <w:color w:val="000000"/>
          <w:sz w:val="22"/>
          <w:szCs w:val="22"/>
        </w:rPr>
      </w:pPr>
      <w:r w:rsidRPr="00996EDD">
        <w:rPr>
          <w:rFonts w:ascii="Arial" w:hAnsi="Arial" w:cs="Arial"/>
          <w:color w:val="000000"/>
          <w:sz w:val="22"/>
          <w:szCs w:val="22"/>
        </w:rPr>
        <w:t>Subsection (15)(a) specifies that a planning authority may facilitate the phased payment of contributions under Section 48 of the Planning and Development Act 2000, as amended and may require the giving of security to ensure payment of contributions.</w:t>
      </w:r>
    </w:p>
    <w:p w:rsidR="00AC0474" w:rsidRDefault="00AC0474" w:rsidP="00AC0474">
      <w:pPr>
        <w:tabs>
          <w:tab w:val="left" w:pos="720"/>
        </w:tabs>
        <w:jc w:val="center"/>
        <w:rPr>
          <w:rFonts w:ascii="Arial" w:hAnsi="Arial" w:cs="Arial"/>
          <w:b/>
          <w:color w:val="000000"/>
        </w:rPr>
      </w:pPr>
    </w:p>
    <w:p w:rsidR="00AC0474" w:rsidRPr="00996EDD" w:rsidRDefault="00AC0474" w:rsidP="00AC0474">
      <w:pPr>
        <w:tabs>
          <w:tab w:val="left" w:pos="720"/>
        </w:tabs>
        <w:jc w:val="center"/>
        <w:rPr>
          <w:rFonts w:ascii="Arial" w:hAnsi="Arial" w:cs="Arial"/>
          <w:b/>
          <w:color w:val="000000"/>
        </w:rPr>
      </w:pPr>
      <w:r w:rsidRPr="00996EDD">
        <w:rPr>
          <w:rFonts w:ascii="Arial" w:hAnsi="Arial" w:cs="Arial"/>
          <w:b/>
          <w:color w:val="000000"/>
        </w:rPr>
        <w:t>DEFINITIONS</w:t>
      </w:r>
      <w:r>
        <w:rPr>
          <w:rFonts w:ascii="Arial" w:hAnsi="Arial" w:cs="Arial"/>
          <w:b/>
          <w:color w:val="000000"/>
        </w:rPr>
        <w:t>:</w:t>
      </w:r>
    </w:p>
    <w:p w:rsidR="00AC0474" w:rsidRPr="00996EDD" w:rsidRDefault="00AC0474" w:rsidP="00AC0474">
      <w:pPr>
        <w:numPr>
          <w:ilvl w:val="0"/>
          <w:numId w:val="5"/>
        </w:numPr>
        <w:spacing w:after="0" w:line="240" w:lineRule="auto"/>
        <w:ind w:hanging="720"/>
        <w:rPr>
          <w:rFonts w:ascii="Arial" w:hAnsi="Arial" w:cs="Arial"/>
          <w:color w:val="000000"/>
        </w:rPr>
      </w:pPr>
      <w:r w:rsidRPr="00996EDD">
        <w:rPr>
          <w:rFonts w:ascii="Arial" w:hAnsi="Arial" w:cs="Arial"/>
          <w:color w:val="000000"/>
        </w:rPr>
        <w:t>Section 48 of the Planning and Development Act 2000, as amended ("The Act") gives the following meaning to "public infrastructure and facilities" -</w:t>
      </w:r>
    </w:p>
    <w:p w:rsidR="00AC0474" w:rsidRPr="00996EDD" w:rsidRDefault="00AC0474" w:rsidP="00AC0474">
      <w:pPr>
        <w:tabs>
          <w:tab w:val="left" w:pos="720"/>
        </w:tabs>
        <w:spacing w:line="240" w:lineRule="auto"/>
        <w:ind w:left="720" w:hanging="720"/>
        <w:rPr>
          <w:rFonts w:ascii="Arial" w:hAnsi="Arial" w:cs="Arial"/>
          <w:b/>
          <w:color w:val="000000"/>
        </w:rPr>
      </w:pPr>
    </w:p>
    <w:p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FD7E10">
        <w:rPr>
          <w:rFonts w:ascii="Arial" w:hAnsi="Arial" w:cs="Arial"/>
          <w:color w:val="000000"/>
        </w:rPr>
        <w:lastRenderedPageBreak/>
        <w:t>"the acquisition of land,</w:t>
      </w:r>
    </w:p>
    <w:p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996EDD">
        <w:rPr>
          <w:rFonts w:ascii="Arial" w:hAnsi="Arial" w:cs="Arial"/>
          <w:color w:val="000000"/>
        </w:rPr>
        <w:t>the provision of open spaces, recreational and community facilities and amenities and landscaping works,</w:t>
      </w:r>
    </w:p>
    <w:p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FD7E10">
        <w:rPr>
          <w:rFonts w:ascii="Arial" w:hAnsi="Arial" w:cs="Arial"/>
          <w:color w:val="000000"/>
        </w:rPr>
        <w:t xml:space="preserve">the provision of roads, car parks, car parking places, surface water sewers and flood relief work and ancillary infrastructure, </w:t>
      </w:r>
    </w:p>
    <w:p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FD7E10">
        <w:rPr>
          <w:rFonts w:ascii="Arial" w:hAnsi="Arial" w:cs="Arial"/>
          <w:color w:val="000000"/>
        </w:rPr>
        <w:t>the provision of bus corridors and lanes, bus interchange facilities (including car parks for these facilities) infrastructure to facilitate public transport, cycle and pedestrian facilities, and traffic calming measures,</w:t>
      </w:r>
    </w:p>
    <w:p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FD7E10">
        <w:rPr>
          <w:rFonts w:ascii="Arial" w:hAnsi="Arial" w:cs="Arial"/>
          <w:color w:val="000000"/>
        </w:rPr>
        <w:t xml:space="preserve">the refurbishment, upgrading, enlargement or replacement of roads, car parks, car parking spaces, surface water sewers, flood relief work and ancillary infrastructure, </w:t>
      </w:r>
    </w:p>
    <w:p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FD7E10">
        <w:rPr>
          <w:rFonts w:ascii="Arial" w:hAnsi="Arial" w:cs="Arial"/>
          <w:color w:val="000000"/>
        </w:rPr>
        <w:t>the provision of high-capacity telecommunications infrastructure, such as broadband,</w:t>
      </w:r>
    </w:p>
    <w:p w:rsidR="00AC0474"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FD7E10">
        <w:rPr>
          <w:rFonts w:ascii="Arial" w:hAnsi="Arial" w:cs="Arial"/>
          <w:color w:val="000000"/>
        </w:rPr>
        <w:t>the provision of school sites, and</w:t>
      </w:r>
    </w:p>
    <w:p w:rsidR="00AC0474" w:rsidRPr="00996EDD" w:rsidRDefault="00AC0474" w:rsidP="00AC0474">
      <w:pPr>
        <w:numPr>
          <w:ilvl w:val="0"/>
          <w:numId w:val="2"/>
        </w:numPr>
        <w:tabs>
          <w:tab w:val="clear" w:pos="1440"/>
          <w:tab w:val="left" w:pos="720"/>
          <w:tab w:val="num" w:pos="1800"/>
        </w:tabs>
        <w:spacing w:after="0" w:line="240" w:lineRule="auto"/>
        <w:ind w:left="1800" w:hanging="540"/>
        <w:rPr>
          <w:rFonts w:ascii="Arial" w:hAnsi="Arial" w:cs="Arial"/>
          <w:color w:val="000000"/>
        </w:rPr>
      </w:pPr>
      <w:r w:rsidRPr="00996EDD">
        <w:rPr>
          <w:rFonts w:ascii="Arial" w:hAnsi="Arial" w:cs="Arial"/>
          <w:color w:val="000000"/>
        </w:rPr>
        <w:t>Any matters ancillary to paragraphs (a) to (g)".</w:t>
      </w:r>
    </w:p>
    <w:p w:rsidR="00AC0474" w:rsidRPr="00996EDD" w:rsidRDefault="00AC0474" w:rsidP="00AC0474">
      <w:pPr>
        <w:tabs>
          <w:tab w:val="left" w:pos="720"/>
          <w:tab w:val="num" w:pos="1800"/>
        </w:tabs>
        <w:spacing w:line="240" w:lineRule="auto"/>
        <w:ind w:left="1800"/>
        <w:rPr>
          <w:rFonts w:ascii="Arial" w:hAnsi="Arial" w:cs="Arial"/>
          <w:color w:val="000000"/>
        </w:rPr>
      </w:pPr>
    </w:p>
    <w:p w:rsidR="00AC0474" w:rsidRPr="00996EDD" w:rsidRDefault="00AC0474" w:rsidP="00AC0474">
      <w:pPr>
        <w:spacing w:line="240" w:lineRule="auto"/>
        <w:ind w:left="851" w:hanging="851"/>
        <w:rPr>
          <w:rFonts w:ascii="Arial" w:hAnsi="Arial" w:cs="Arial"/>
          <w:b/>
          <w:color w:val="000000"/>
        </w:rPr>
      </w:pPr>
      <w:r w:rsidRPr="00996EDD">
        <w:rPr>
          <w:rFonts w:ascii="Arial" w:hAnsi="Arial" w:cs="Arial"/>
          <w:color w:val="000000"/>
        </w:rPr>
        <w:tab/>
        <w:t>"scheme" means a development contribution scheme made under Section 48 of the Act.</w:t>
      </w:r>
    </w:p>
    <w:p w:rsidR="00AC0474" w:rsidRPr="00996EDD" w:rsidRDefault="00AC0474" w:rsidP="00AC0474">
      <w:pPr>
        <w:tabs>
          <w:tab w:val="left" w:pos="720"/>
        </w:tabs>
        <w:ind w:left="720" w:hanging="720"/>
        <w:jc w:val="center"/>
        <w:rPr>
          <w:rFonts w:ascii="Arial" w:hAnsi="Arial" w:cs="Arial"/>
          <w:b/>
          <w:color w:val="000000"/>
        </w:rPr>
      </w:pPr>
      <w:r w:rsidRPr="00996EDD">
        <w:rPr>
          <w:rFonts w:ascii="Arial" w:hAnsi="Arial" w:cs="Arial"/>
          <w:b/>
          <w:color w:val="000000"/>
        </w:rPr>
        <w:t>BASIS FOR DETERMINATION OF CONTRIBUTION</w:t>
      </w:r>
      <w:r>
        <w:rPr>
          <w:rFonts w:ascii="Arial" w:hAnsi="Arial" w:cs="Arial"/>
          <w:b/>
          <w:color w:val="000000"/>
        </w:rPr>
        <w:t>:</w:t>
      </w:r>
    </w:p>
    <w:p w:rsidR="00AC0474" w:rsidRPr="00996EDD" w:rsidRDefault="00AC0474" w:rsidP="00AC0474">
      <w:pPr>
        <w:numPr>
          <w:ilvl w:val="0"/>
          <w:numId w:val="9"/>
        </w:numPr>
        <w:tabs>
          <w:tab w:val="clear" w:pos="1080"/>
          <w:tab w:val="num" w:pos="709"/>
        </w:tabs>
        <w:spacing w:after="0" w:line="240" w:lineRule="auto"/>
        <w:ind w:left="709" w:hanging="709"/>
        <w:rPr>
          <w:rFonts w:ascii="Arial" w:hAnsi="Arial" w:cs="Arial"/>
          <w:color w:val="000000"/>
        </w:rPr>
      </w:pPr>
      <w:r w:rsidRPr="00996EDD">
        <w:rPr>
          <w:rFonts w:ascii="Arial" w:hAnsi="Arial" w:cs="Arial"/>
          <w:color w:val="000000"/>
        </w:rPr>
        <w:t>The basis for determination of a contribution under the Dublin City Council</w:t>
      </w:r>
      <w:r w:rsidRPr="00996EDD">
        <w:rPr>
          <w:rFonts w:ascii="Arial" w:hAnsi="Arial" w:cs="Arial"/>
          <w:color w:val="000000"/>
        </w:rPr>
        <w:br/>
        <w:t xml:space="preserve">Development Contribution Scheme </w:t>
      </w:r>
      <w:r>
        <w:rPr>
          <w:rFonts w:ascii="Arial" w:hAnsi="Arial" w:cs="Arial"/>
          <w:color w:val="000000"/>
        </w:rPr>
        <w:t>2023</w:t>
      </w:r>
      <w:r w:rsidRPr="00996EDD">
        <w:rPr>
          <w:rFonts w:ascii="Arial" w:hAnsi="Arial" w:cs="Arial"/>
          <w:color w:val="000000"/>
        </w:rPr>
        <w:t>-20</w:t>
      </w:r>
      <w:r>
        <w:rPr>
          <w:rFonts w:ascii="Arial" w:hAnsi="Arial" w:cs="Arial"/>
          <w:color w:val="000000"/>
        </w:rPr>
        <w:t>26</w:t>
      </w:r>
      <w:r w:rsidRPr="00996EDD">
        <w:rPr>
          <w:rFonts w:ascii="Arial" w:hAnsi="Arial" w:cs="Arial"/>
          <w:color w:val="000000"/>
        </w:rPr>
        <w:t xml:space="preserve"> ("the Scheme") is as follows;</w:t>
      </w:r>
    </w:p>
    <w:p w:rsidR="00AC0474" w:rsidRPr="00996EDD" w:rsidRDefault="00AC0474" w:rsidP="00AC0474">
      <w:pPr>
        <w:ind w:left="709"/>
        <w:rPr>
          <w:rFonts w:ascii="Arial" w:hAnsi="Arial" w:cs="Arial"/>
          <w:color w:val="000000"/>
        </w:rPr>
      </w:pPr>
    </w:p>
    <w:p w:rsidR="00AC0474" w:rsidRPr="00996EDD" w:rsidRDefault="00AC0474" w:rsidP="00AC0474">
      <w:pPr>
        <w:numPr>
          <w:ilvl w:val="1"/>
          <w:numId w:val="7"/>
        </w:numPr>
        <w:tabs>
          <w:tab w:val="left" w:pos="720"/>
        </w:tabs>
        <w:spacing w:after="0" w:line="240" w:lineRule="auto"/>
        <w:ind w:hanging="720"/>
        <w:rPr>
          <w:rFonts w:ascii="Arial" w:hAnsi="Arial" w:cs="Arial"/>
          <w:color w:val="000000"/>
        </w:rPr>
      </w:pPr>
      <w:r w:rsidRPr="00996EDD">
        <w:rPr>
          <w:rFonts w:ascii="Arial" w:hAnsi="Arial" w:cs="Arial"/>
          <w:color w:val="000000"/>
        </w:rPr>
        <w:t>The amount of the costs, which are attributable, to the five classes of public infrastructure and facilities (listed in the table at Article 9 below).  These costs are given in Table A of Appendix I of this Scheme</w:t>
      </w:r>
    </w:p>
    <w:p w:rsidR="00AC0474" w:rsidRPr="00996EDD" w:rsidRDefault="00AC0474" w:rsidP="00AC0474">
      <w:pPr>
        <w:ind w:left="720"/>
        <w:rPr>
          <w:rFonts w:ascii="Arial" w:hAnsi="Arial" w:cs="Arial"/>
          <w:color w:val="000000"/>
        </w:rPr>
      </w:pPr>
    </w:p>
    <w:p w:rsidR="00AC0474" w:rsidRPr="00996EDD" w:rsidRDefault="00AC0474" w:rsidP="00AC0474">
      <w:pPr>
        <w:numPr>
          <w:ilvl w:val="1"/>
          <w:numId w:val="7"/>
        </w:numPr>
        <w:tabs>
          <w:tab w:val="left" w:pos="720"/>
        </w:tabs>
        <w:spacing w:after="0" w:line="240" w:lineRule="auto"/>
        <w:ind w:hanging="720"/>
        <w:rPr>
          <w:rFonts w:ascii="Arial" w:hAnsi="Arial" w:cs="Arial"/>
          <w:color w:val="000000"/>
        </w:rPr>
      </w:pPr>
      <w:r w:rsidRPr="00996EDD">
        <w:rPr>
          <w:rFonts w:ascii="Arial" w:hAnsi="Arial" w:cs="Arial"/>
          <w:color w:val="000000"/>
        </w:rPr>
        <w:t>The aggregated floor areas in square metres of projected development, in each of the classes or descriptions of development, namely, residential and industrial/commercial.  These floor areas are given in Table B of Appendix I which is annexed to this Scheme</w:t>
      </w:r>
    </w:p>
    <w:p w:rsidR="00AC0474" w:rsidRPr="008104AD" w:rsidRDefault="00AC0474" w:rsidP="00AC0474">
      <w:pPr>
        <w:numPr>
          <w:ilvl w:val="1"/>
          <w:numId w:val="7"/>
        </w:numPr>
        <w:tabs>
          <w:tab w:val="left" w:pos="720"/>
        </w:tabs>
        <w:spacing w:after="0" w:line="240" w:lineRule="auto"/>
        <w:ind w:hanging="720"/>
        <w:rPr>
          <w:rFonts w:ascii="Arial" w:hAnsi="Arial" w:cs="Arial"/>
          <w:color w:val="000000"/>
        </w:rPr>
      </w:pPr>
      <w:r w:rsidRPr="00996EDD">
        <w:rPr>
          <w:rFonts w:ascii="Arial" w:hAnsi="Arial" w:cs="Arial"/>
          <w:color w:val="000000"/>
        </w:rPr>
        <w:t xml:space="preserve">The development contributions payable per square metre of residential development, and of industrial/commercial development were determined upon consideration of a number of factors including: </w:t>
      </w:r>
    </w:p>
    <w:p w:rsidR="00AC0474" w:rsidRDefault="00AC0474" w:rsidP="00AC0474">
      <w:pPr>
        <w:spacing w:after="0" w:line="240" w:lineRule="auto"/>
        <w:ind w:left="1800"/>
        <w:rPr>
          <w:rFonts w:ascii="Arial" w:hAnsi="Arial" w:cs="Arial"/>
          <w:color w:val="000000"/>
        </w:rPr>
      </w:pPr>
    </w:p>
    <w:p w:rsidR="00AC0474" w:rsidRDefault="00AC0474" w:rsidP="00AC0474">
      <w:pPr>
        <w:numPr>
          <w:ilvl w:val="0"/>
          <w:numId w:val="8"/>
        </w:numPr>
        <w:tabs>
          <w:tab w:val="num" w:pos="1800"/>
        </w:tabs>
        <w:spacing w:after="0" w:line="240" w:lineRule="auto"/>
        <w:rPr>
          <w:rFonts w:ascii="Arial" w:hAnsi="Arial" w:cs="Arial"/>
          <w:color w:val="000000"/>
        </w:rPr>
      </w:pPr>
      <w:r w:rsidRPr="00996EDD">
        <w:rPr>
          <w:rFonts w:ascii="Arial" w:hAnsi="Arial" w:cs="Arial"/>
          <w:color w:val="000000"/>
        </w:rPr>
        <w:t xml:space="preserve">Eligible costs of projects; </w:t>
      </w:r>
    </w:p>
    <w:p w:rsidR="00AC0474" w:rsidRDefault="00AC0474" w:rsidP="00AC0474">
      <w:pPr>
        <w:numPr>
          <w:ilvl w:val="0"/>
          <w:numId w:val="8"/>
        </w:numPr>
        <w:tabs>
          <w:tab w:val="num" w:pos="1800"/>
        </w:tabs>
        <w:spacing w:after="0" w:line="240" w:lineRule="auto"/>
        <w:rPr>
          <w:rFonts w:ascii="Arial" w:hAnsi="Arial" w:cs="Arial"/>
          <w:color w:val="000000"/>
        </w:rPr>
      </w:pPr>
      <w:r w:rsidRPr="00996EDD">
        <w:rPr>
          <w:rFonts w:ascii="Arial" w:hAnsi="Arial" w:cs="Arial"/>
          <w:color w:val="000000"/>
        </w:rPr>
        <w:t xml:space="preserve">Expected quantum of development; </w:t>
      </w:r>
    </w:p>
    <w:p w:rsidR="00AC0474" w:rsidRPr="00996EDD" w:rsidRDefault="00AC0474" w:rsidP="00AC0474">
      <w:pPr>
        <w:numPr>
          <w:ilvl w:val="0"/>
          <w:numId w:val="8"/>
        </w:numPr>
        <w:tabs>
          <w:tab w:val="num" w:pos="1800"/>
        </w:tabs>
        <w:spacing w:after="0" w:line="240" w:lineRule="auto"/>
        <w:rPr>
          <w:rFonts w:ascii="Arial" w:hAnsi="Arial" w:cs="Arial"/>
          <w:color w:val="000000"/>
        </w:rPr>
      </w:pPr>
      <w:r w:rsidRPr="00996EDD">
        <w:rPr>
          <w:rFonts w:ascii="Arial" w:hAnsi="Arial" w:cs="Arial"/>
          <w:color w:val="000000"/>
        </w:rPr>
        <w:t>The level of existing contribution rates;</w:t>
      </w:r>
    </w:p>
    <w:p w:rsidR="00AC0474" w:rsidRPr="00996EDD" w:rsidRDefault="00AC0474" w:rsidP="00AC0474">
      <w:pPr>
        <w:tabs>
          <w:tab w:val="left" w:pos="1800"/>
          <w:tab w:val="left" w:pos="2070"/>
        </w:tabs>
        <w:spacing w:line="240" w:lineRule="auto"/>
        <w:rPr>
          <w:rFonts w:ascii="Arial" w:hAnsi="Arial" w:cs="Arial"/>
          <w:color w:val="000000"/>
        </w:rPr>
      </w:pPr>
    </w:p>
    <w:p w:rsidR="00AC0474" w:rsidRPr="00996EDD" w:rsidRDefault="00AC0474" w:rsidP="00AC0474">
      <w:pPr>
        <w:spacing w:line="240" w:lineRule="auto"/>
        <w:rPr>
          <w:rFonts w:ascii="Arial" w:hAnsi="Arial" w:cs="Arial"/>
          <w:color w:val="000000"/>
        </w:rPr>
      </w:pPr>
      <w:r w:rsidRPr="00996EDD">
        <w:rPr>
          <w:rFonts w:ascii="Arial" w:hAnsi="Arial" w:cs="Arial"/>
          <w:color w:val="000000"/>
        </w:rPr>
        <w:tab/>
        <w:t>And the following:</w:t>
      </w:r>
    </w:p>
    <w:p w:rsidR="00AC0474" w:rsidRPr="00996EDD" w:rsidRDefault="00AC0474" w:rsidP="00AC0474">
      <w:pPr>
        <w:numPr>
          <w:ilvl w:val="1"/>
          <w:numId w:val="7"/>
        </w:numPr>
        <w:tabs>
          <w:tab w:val="left" w:pos="1800"/>
          <w:tab w:val="left" w:pos="2070"/>
        </w:tabs>
        <w:spacing w:after="0" w:line="240" w:lineRule="auto"/>
        <w:ind w:hanging="731"/>
        <w:rPr>
          <w:rFonts w:ascii="Arial" w:hAnsi="Arial" w:cs="Arial"/>
          <w:color w:val="000000"/>
        </w:rPr>
      </w:pPr>
      <w:r w:rsidRPr="00996EDD">
        <w:rPr>
          <w:rFonts w:ascii="Arial" w:hAnsi="Arial" w:cs="Arial"/>
          <w:color w:val="000000"/>
        </w:rPr>
        <w:t>An examination of current market conditions</w:t>
      </w:r>
    </w:p>
    <w:p w:rsidR="00AC0474" w:rsidRDefault="00AC0474" w:rsidP="00AC0474">
      <w:pPr>
        <w:spacing w:line="240" w:lineRule="auto"/>
        <w:ind w:firstLine="709"/>
        <w:rPr>
          <w:rFonts w:ascii="Arial" w:hAnsi="Arial" w:cs="Arial"/>
          <w:color w:val="000000"/>
        </w:rPr>
      </w:pPr>
    </w:p>
    <w:p w:rsidR="00AC0474" w:rsidRPr="00996EDD" w:rsidRDefault="00AC0474" w:rsidP="00AC0474">
      <w:pPr>
        <w:spacing w:line="240" w:lineRule="auto"/>
        <w:ind w:firstLine="709"/>
        <w:rPr>
          <w:rFonts w:ascii="Arial" w:hAnsi="Arial" w:cs="Arial"/>
          <w:color w:val="000000"/>
        </w:rPr>
      </w:pPr>
      <w:r w:rsidRPr="00996EDD">
        <w:rPr>
          <w:rFonts w:ascii="Arial" w:hAnsi="Arial" w:cs="Arial"/>
          <w:color w:val="000000"/>
        </w:rPr>
        <w:t>The result of the above analysis is shown in Article 9 of the Scheme.</w:t>
      </w:r>
    </w:p>
    <w:p w:rsidR="00AC0474" w:rsidRDefault="00AC0474" w:rsidP="00AC0474">
      <w:pPr>
        <w:spacing w:line="240" w:lineRule="auto"/>
        <w:jc w:val="center"/>
        <w:rPr>
          <w:rFonts w:ascii="Arial" w:hAnsi="Arial" w:cs="Arial"/>
          <w:b/>
          <w:color w:val="000000"/>
        </w:rPr>
      </w:pPr>
    </w:p>
    <w:p w:rsidR="00AC0474" w:rsidRPr="00996EDD" w:rsidRDefault="00AC0474" w:rsidP="00AC0474">
      <w:pPr>
        <w:jc w:val="center"/>
        <w:rPr>
          <w:rFonts w:ascii="Arial" w:hAnsi="Arial" w:cs="Arial"/>
          <w:b/>
          <w:color w:val="000000"/>
        </w:rPr>
      </w:pPr>
      <w:r w:rsidRPr="00996EDD">
        <w:rPr>
          <w:rFonts w:ascii="Arial" w:hAnsi="Arial" w:cs="Arial"/>
          <w:b/>
          <w:color w:val="000000"/>
        </w:rPr>
        <w:t>DEVELOPMENT CONTRIBUTION SCHEME</w:t>
      </w:r>
      <w:r>
        <w:rPr>
          <w:rFonts w:ascii="Arial" w:hAnsi="Arial" w:cs="Arial"/>
          <w:b/>
          <w:color w:val="000000"/>
        </w:rPr>
        <w:t>:</w:t>
      </w:r>
    </w:p>
    <w:p w:rsidR="00AC0474" w:rsidRPr="00996EDD" w:rsidRDefault="00AC0474" w:rsidP="00AC0474">
      <w:pPr>
        <w:pStyle w:val="ListBullet"/>
        <w:tabs>
          <w:tab w:val="clear" w:pos="360"/>
          <w:tab w:val="num" w:pos="720"/>
        </w:tabs>
        <w:ind w:left="720" w:hanging="720"/>
        <w:rPr>
          <w:rFonts w:ascii="Arial" w:hAnsi="Arial" w:cs="Arial"/>
          <w:color w:val="000000"/>
          <w:sz w:val="22"/>
          <w:szCs w:val="22"/>
        </w:rPr>
      </w:pPr>
      <w:r w:rsidRPr="00996EDD">
        <w:rPr>
          <w:rFonts w:ascii="Arial" w:hAnsi="Arial" w:cs="Arial"/>
          <w:color w:val="000000"/>
          <w:sz w:val="22"/>
          <w:szCs w:val="22"/>
        </w:rPr>
        <w:t>This Dublin City Council Development Contribution Scheme 20</w:t>
      </w:r>
      <w:r>
        <w:rPr>
          <w:rFonts w:ascii="Arial" w:hAnsi="Arial" w:cs="Arial"/>
          <w:color w:val="000000"/>
          <w:sz w:val="22"/>
          <w:szCs w:val="22"/>
        </w:rPr>
        <w:t>23</w:t>
      </w:r>
      <w:r w:rsidRPr="00996EDD">
        <w:rPr>
          <w:rFonts w:ascii="Arial" w:hAnsi="Arial" w:cs="Arial"/>
          <w:color w:val="000000"/>
          <w:sz w:val="22"/>
          <w:szCs w:val="22"/>
        </w:rPr>
        <w:t xml:space="preserve"> - 20</w:t>
      </w:r>
      <w:r>
        <w:rPr>
          <w:rFonts w:ascii="Arial" w:hAnsi="Arial" w:cs="Arial"/>
          <w:color w:val="000000"/>
          <w:sz w:val="22"/>
          <w:szCs w:val="22"/>
        </w:rPr>
        <w:t>26</w:t>
      </w:r>
      <w:r w:rsidRPr="00996EDD">
        <w:rPr>
          <w:rFonts w:ascii="Arial" w:hAnsi="Arial" w:cs="Arial"/>
          <w:color w:val="000000"/>
          <w:sz w:val="22"/>
          <w:szCs w:val="22"/>
        </w:rPr>
        <w:t xml:space="preserve"> ("the Scheme") is made under Section 48 of the Planning and Development Act 2000, as amended ("the Act").</w:t>
      </w:r>
    </w:p>
    <w:p w:rsidR="00AC0474" w:rsidRPr="00996EDD" w:rsidRDefault="00AC0474" w:rsidP="00AC0474">
      <w:pPr>
        <w:pStyle w:val="ListBullet"/>
        <w:numPr>
          <w:ilvl w:val="0"/>
          <w:numId w:val="0"/>
        </w:numPr>
        <w:rPr>
          <w:rFonts w:ascii="Arial" w:hAnsi="Arial" w:cs="Arial"/>
          <w:color w:val="000000"/>
          <w:sz w:val="22"/>
          <w:szCs w:val="22"/>
        </w:rPr>
      </w:pPr>
    </w:p>
    <w:p w:rsidR="00AC0474" w:rsidRDefault="00AC0474" w:rsidP="00AC0474">
      <w:pPr>
        <w:pStyle w:val="ListBullet"/>
        <w:tabs>
          <w:tab w:val="clear" w:pos="360"/>
          <w:tab w:val="num" w:pos="720"/>
        </w:tabs>
        <w:ind w:left="720" w:hanging="720"/>
        <w:rPr>
          <w:rFonts w:ascii="Arial" w:hAnsi="Arial" w:cs="Arial"/>
          <w:color w:val="000000"/>
          <w:sz w:val="22"/>
          <w:szCs w:val="22"/>
        </w:rPr>
      </w:pPr>
      <w:r w:rsidRPr="00996EDD">
        <w:rPr>
          <w:rFonts w:ascii="Arial" w:hAnsi="Arial" w:cs="Arial"/>
          <w:color w:val="000000"/>
          <w:sz w:val="22"/>
          <w:szCs w:val="22"/>
        </w:rPr>
        <w:t>Under the Scheme</w:t>
      </w:r>
      <w:r>
        <w:rPr>
          <w:rFonts w:ascii="Arial" w:hAnsi="Arial" w:cs="Arial"/>
          <w:color w:val="000000"/>
          <w:sz w:val="22"/>
          <w:szCs w:val="22"/>
        </w:rPr>
        <w:t xml:space="preserve"> </w:t>
      </w:r>
      <w:r w:rsidRPr="00996EDD">
        <w:rPr>
          <w:rFonts w:ascii="Arial" w:hAnsi="Arial" w:cs="Arial"/>
          <w:color w:val="000000"/>
          <w:sz w:val="22"/>
          <w:szCs w:val="22"/>
        </w:rPr>
        <w:t xml:space="preserve"> Dublin City Council will, when granting a planning permission under Section 34 of the Act, include conditions for requiring the payment of a contribution (the amount of which is indicated below under the heading Level of Contribution) in respect of public infrastructure and facilities benefiting development in the City and that is provided, or that it is intended will be provided, by or on behalf of Dublin City Council (regardless of other sources of funding for the infrastructure and facilities).</w:t>
      </w:r>
    </w:p>
    <w:p w:rsidR="00AC0474" w:rsidRPr="00996EDD" w:rsidRDefault="00AC0474" w:rsidP="00AC0474">
      <w:pPr>
        <w:pStyle w:val="ListBullet"/>
        <w:numPr>
          <w:ilvl w:val="0"/>
          <w:numId w:val="0"/>
        </w:numPr>
        <w:ind w:left="720"/>
        <w:rPr>
          <w:rFonts w:ascii="Arial" w:hAnsi="Arial" w:cs="Arial"/>
          <w:color w:val="000000"/>
          <w:sz w:val="22"/>
          <w:szCs w:val="22"/>
        </w:rPr>
      </w:pPr>
    </w:p>
    <w:p w:rsidR="00AC0474" w:rsidRPr="00996EDD" w:rsidRDefault="00AC0474" w:rsidP="00AC0474">
      <w:pPr>
        <w:tabs>
          <w:tab w:val="left" w:pos="1440"/>
          <w:tab w:val="left" w:pos="2070"/>
        </w:tabs>
        <w:jc w:val="center"/>
        <w:rPr>
          <w:rFonts w:ascii="Arial" w:hAnsi="Arial" w:cs="Arial"/>
          <w:b/>
          <w:color w:val="000000"/>
        </w:rPr>
      </w:pPr>
      <w:r w:rsidRPr="00996EDD">
        <w:rPr>
          <w:rFonts w:ascii="Arial" w:hAnsi="Arial" w:cs="Arial"/>
          <w:b/>
          <w:color w:val="000000"/>
        </w:rPr>
        <w:t>LEVEL OF CONTRIBUTION</w:t>
      </w:r>
      <w:r>
        <w:rPr>
          <w:rFonts w:ascii="Arial" w:hAnsi="Arial" w:cs="Arial"/>
          <w:b/>
          <w:color w:val="000000"/>
        </w:rPr>
        <w:t>:</w:t>
      </w:r>
    </w:p>
    <w:p w:rsidR="00AC0474" w:rsidRPr="00996EDD" w:rsidRDefault="00AC0474" w:rsidP="00AC0474">
      <w:pPr>
        <w:pStyle w:val="ListBullet"/>
        <w:tabs>
          <w:tab w:val="clear" w:pos="360"/>
          <w:tab w:val="num" w:pos="720"/>
          <w:tab w:val="left" w:pos="1440"/>
          <w:tab w:val="left" w:pos="2070"/>
        </w:tabs>
        <w:ind w:left="720" w:hanging="720"/>
        <w:rPr>
          <w:rFonts w:ascii="Arial" w:hAnsi="Arial" w:cs="Arial"/>
          <w:color w:val="000000"/>
          <w:sz w:val="22"/>
          <w:szCs w:val="22"/>
        </w:rPr>
      </w:pPr>
      <w:r w:rsidRPr="00996EDD">
        <w:rPr>
          <w:rFonts w:ascii="Arial" w:hAnsi="Arial" w:cs="Arial"/>
          <w:color w:val="000000"/>
          <w:sz w:val="22"/>
          <w:szCs w:val="22"/>
        </w:rPr>
        <w:t xml:space="preserve">Under the Scheme, the contributions to be paid (except where </w:t>
      </w:r>
      <w:r>
        <w:rPr>
          <w:rFonts w:ascii="Arial" w:hAnsi="Arial" w:cs="Arial"/>
          <w:color w:val="000000"/>
          <w:sz w:val="22"/>
          <w:szCs w:val="22"/>
        </w:rPr>
        <w:t xml:space="preserve">no contribution or a reduced contribution </w:t>
      </w:r>
      <w:r w:rsidRPr="00996EDD">
        <w:rPr>
          <w:rFonts w:ascii="Arial" w:hAnsi="Arial" w:cs="Arial"/>
          <w:color w:val="000000"/>
          <w:sz w:val="22"/>
          <w:szCs w:val="22"/>
        </w:rPr>
        <w:t>applies) in respect of the different classes of public infrastructure and facilities are as follows:-</w:t>
      </w:r>
    </w:p>
    <w:p w:rsidR="00AC0474" w:rsidRPr="00996EDD" w:rsidRDefault="00AC0474" w:rsidP="00AC0474">
      <w:pPr>
        <w:pStyle w:val="ListBullet"/>
        <w:numPr>
          <w:ilvl w:val="0"/>
          <w:numId w:val="0"/>
        </w:numPr>
        <w:tabs>
          <w:tab w:val="left" w:pos="1440"/>
          <w:tab w:val="left" w:pos="2070"/>
        </w:tabs>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2250"/>
        <w:gridCol w:w="2784"/>
      </w:tblGrid>
      <w:tr w:rsidR="00AC0474" w:rsidRPr="00996EDD" w:rsidTr="0060257A">
        <w:trPr>
          <w:jc w:val="center"/>
        </w:trPr>
        <w:tc>
          <w:tcPr>
            <w:tcW w:w="4230" w:type="dxa"/>
          </w:tcPr>
          <w:p w:rsidR="00AC0474" w:rsidRPr="00996EDD" w:rsidRDefault="00AC0474" w:rsidP="0060257A">
            <w:pPr>
              <w:tabs>
                <w:tab w:val="left" w:pos="720"/>
                <w:tab w:val="left" w:pos="1440"/>
                <w:tab w:val="left" w:pos="2070"/>
              </w:tabs>
              <w:jc w:val="center"/>
              <w:rPr>
                <w:rFonts w:ascii="Arial" w:hAnsi="Arial" w:cs="Arial"/>
                <w:b/>
                <w:color w:val="000000"/>
              </w:rPr>
            </w:pPr>
            <w:r w:rsidRPr="00996EDD">
              <w:rPr>
                <w:rFonts w:ascii="Arial" w:hAnsi="Arial" w:cs="Arial"/>
                <w:b/>
                <w:color w:val="000000"/>
              </w:rPr>
              <w:t>Class of Public Infrastructural</w:t>
            </w:r>
          </w:p>
          <w:p w:rsidR="00AC0474" w:rsidRPr="00996EDD" w:rsidRDefault="00AC0474" w:rsidP="0060257A">
            <w:pPr>
              <w:tabs>
                <w:tab w:val="left" w:pos="720"/>
                <w:tab w:val="left" w:pos="1440"/>
                <w:tab w:val="left" w:pos="2070"/>
              </w:tabs>
              <w:jc w:val="center"/>
              <w:rPr>
                <w:rFonts w:ascii="Arial" w:hAnsi="Arial" w:cs="Arial"/>
                <w:b/>
                <w:color w:val="000000"/>
              </w:rPr>
            </w:pPr>
            <w:r w:rsidRPr="00996EDD">
              <w:rPr>
                <w:rFonts w:ascii="Arial" w:hAnsi="Arial" w:cs="Arial"/>
                <w:b/>
                <w:color w:val="000000"/>
              </w:rPr>
              <w:t>Development</w:t>
            </w:r>
          </w:p>
        </w:tc>
        <w:tc>
          <w:tcPr>
            <w:tcW w:w="2250" w:type="dxa"/>
          </w:tcPr>
          <w:p w:rsidR="00AC0474" w:rsidRPr="00996EDD" w:rsidRDefault="00AC0474" w:rsidP="0060257A">
            <w:pPr>
              <w:tabs>
                <w:tab w:val="left" w:pos="720"/>
                <w:tab w:val="left" w:pos="1440"/>
                <w:tab w:val="left" w:pos="2070"/>
              </w:tabs>
              <w:jc w:val="center"/>
              <w:rPr>
                <w:rFonts w:ascii="Arial" w:hAnsi="Arial" w:cs="Arial"/>
                <w:b/>
                <w:color w:val="000000"/>
              </w:rPr>
            </w:pPr>
            <w:r w:rsidRPr="00996EDD">
              <w:rPr>
                <w:rFonts w:ascii="Arial" w:hAnsi="Arial" w:cs="Arial"/>
                <w:b/>
                <w:color w:val="000000"/>
              </w:rPr>
              <w:t>€ per square metre of Residential Development</w:t>
            </w:r>
          </w:p>
        </w:tc>
        <w:tc>
          <w:tcPr>
            <w:tcW w:w="2784" w:type="dxa"/>
          </w:tcPr>
          <w:p w:rsidR="00AC0474" w:rsidRPr="00996EDD" w:rsidRDefault="00AC0474" w:rsidP="0060257A">
            <w:pPr>
              <w:tabs>
                <w:tab w:val="left" w:pos="720"/>
                <w:tab w:val="left" w:pos="1440"/>
                <w:tab w:val="left" w:pos="2070"/>
              </w:tabs>
              <w:jc w:val="center"/>
              <w:rPr>
                <w:rFonts w:ascii="Arial" w:hAnsi="Arial" w:cs="Arial"/>
                <w:b/>
                <w:color w:val="000000"/>
              </w:rPr>
            </w:pPr>
            <w:r w:rsidRPr="00996EDD">
              <w:rPr>
                <w:rFonts w:ascii="Arial" w:hAnsi="Arial" w:cs="Arial"/>
                <w:b/>
                <w:color w:val="000000"/>
              </w:rPr>
              <w:t>€ per square metre of Industrial/</w:t>
            </w:r>
          </w:p>
          <w:p w:rsidR="00AC0474" w:rsidRPr="00996EDD" w:rsidRDefault="00AC0474" w:rsidP="0060257A">
            <w:pPr>
              <w:tabs>
                <w:tab w:val="left" w:pos="720"/>
                <w:tab w:val="left" w:pos="1440"/>
                <w:tab w:val="left" w:pos="2070"/>
              </w:tabs>
              <w:jc w:val="center"/>
              <w:rPr>
                <w:rFonts w:ascii="Arial" w:hAnsi="Arial" w:cs="Arial"/>
                <w:b/>
                <w:color w:val="000000"/>
              </w:rPr>
            </w:pPr>
            <w:r w:rsidRPr="00996EDD">
              <w:rPr>
                <w:rFonts w:ascii="Arial" w:hAnsi="Arial" w:cs="Arial"/>
                <w:b/>
                <w:color w:val="000000"/>
              </w:rPr>
              <w:t>Commercial  Development</w:t>
            </w:r>
          </w:p>
        </w:tc>
      </w:tr>
      <w:tr w:rsidR="00AC0474" w:rsidRPr="00996EDD" w:rsidTr="0060257A">
        <w:trPr>
          <w:jc w:val="center"/>
        </w:trPr>
        <w:tc>
          <w:tcPr>
            <w:tcW w:w="4230" w:type="dxa"/>
          </w:tcPr>
          <w:p w:rsidR="00AC0474" w:rsidRPr="00996EDD" w:rsidRDefault="00AC0474" w:rsidP="0060257A">
            <w:pPr>
              <w:tabs>
                <w:tab w:val="left" w:pos="720"/>
                <w:tab w:val="left" w:pos="1440"/>
                <w:tab w:val="left" w:pos="2070"/>
              </w:tabs>
              <w:jc w:val="both"/>
              <w:rPr>
                <w:rFonts w:ascii="Arial" w:hAnsi="Arial" w:cs="Arial"/>
                <w:color w:val="000000"/>
              </w:rPr>
            </w:pPr>
            <w:r w:rsidRPr="00996EDD">
              <w:rPr>
                <w:rFonts w:ascii="Arial" w:hAnsi="Arial" w:cs="Arial"/>
                <w:color w:val="000000"/>
              </w:rPr>
              <w:t xml:space="preserve">Class 1: </w:t>
            </w:r>
          </w:p>
          <w:p w:rsidR="00AC0474" w:rsidRPr="00996EDD" w:rsidRDefault="00AC0474" w:rsidP="0060257A">
            <w:pPr>
              <w:tabs>
                <w:tab w:val="left" w:pos="720"/>
                <w:tab w:val="left" w:pos="1440"/>
                <w:tab w:val="left" w:pos="2070"/>
              </w:tabs>
              <w:rPr>
                <w:rFonts w:ascii="Arial" w:hAnsi="Arial" w:cs="Arial"/>
                <w:color w:val="000000"/>
              </w:rPr>
            </w:pPr>
            <w:r w:rsidRPr="00996EDD">
              <w:rPr>
                <w:rFonts w:ascii="Arial" w:hAnsi="Arial" w:cs="Arial"/>
                <w:color w:val="000000"/>
              </w:rPr>
              <w:t xml:space="preserve">Roads infrastructure &amp; facilities </w:t>
            </w:r>
          </w:p>
        </w:tc>
        <w:tc>
          <w:tcPr>
            <w:tcW w:w="2250" w:type="dxa"/>
            <w:vAlign w:val="center"/>
          </w:tcPr>
          <w:p w:rsidR="00AC0474" w:rsidRPr="00996EDD" w:rsidRDefault="00AC0474" w:rsidP="0060257A">
            <w:pPr>
              <w:tabs>
                <w:tab w:val="left" w:pos="720"/>
                <w:tab w:val="left" w:pos="1440"/>
                <w:tab w:val="left" w:pos="2070"/>
              </w:tabs>
              <w:jc w:val="center"/>
              <w:rPr>
                <w:rFonts w:ascii="Arial" w:hAnsi="Arial" w:cs="Arial"/>
                <w:color w:val="000000"/>
              </w:rPr>
            </w:pPr>
          </w:p>
          <w:p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s="Arial"/>
                <w:color w:val="000000"/>
              </w:rPr>
              <w:t>€34.40</w:t>
            </w:r>
          </w:p>
        </w:tc>
        <w:tc>
          <w:tcPr>
            <w:tcW w:w="2784" w:type="dxa"/>
            <w:vAlign w:val="center"/>
          </w:tcPr>
          <w:p w:rsidR="00AC0474" w:rsidRPr="00996EDD" w:rsidRDefault="00AC0474" w:rsidP="0060257A">
            <w:pPr>
              <w:tabs>
                <w:tab w:val="left" w:pos="720"/>
                <w:tab w:val="left" w:pos="1440"/>
                <w:tab w:val="left" w:pos="2070"/>
              </w:tabs>
              <w:jc w:val="center"/>
              <w:rPr>
                <w:rFonts w:ascii="Arial" w:hAnsi="Arial" w:cs="Arial"/>
                <w:color w:val="000000"/>
              </w:rPr>
            </w:pPr>
          </w:p>
          <w:p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s="Arial"/>
                <w:color w:val="000000"/>
              </w:rPr>
              <w:t>€35.85</w:t>
            </w:r>
          </w:p>
        </w:tc>
      </w:tr>
      <w:tr w:rsidR="00AC0474" w:rsidRPr="00996EDD" w:rsidTr="0060257A">
        <w:trPr>
          <w:jc w:val="center"/>
        </w:trPr>
        <w:tc>
          <w:tcPr>
            <w:tcW w:w="4230" w:type="dxa"/>
          </w:tcPr>
          <w:p w:rsidR="00AC0474" w:rsidRPr="00996EDD" w:rsidRDefault="00AC0474" w:rsidP="0060257A">
            <w:pPr>
              <w:tabs>
                <w:tab w:val="left" w:pos="720"/>
                <w:tab w:val="left" w:pos="1440"/>
                <w:tab w:val="left" w:pos="2070"/>
              </w:tabs>
              <w:rPr>
                <w:rFonts w:ascii="Arial" w:hAnsi="Arial" w:cs="Arial"/>
              </w:rPr>
            </w:pPr>
            <w:r w:rsidRPr="00996EDD">
              <w:rPr>
                <w:rFonts w:ascii="Arial" w:hAnsi="Arial" w:cs="Arial"/>
              </w:rPr>
              <w:t xml:space="preserve">Class 2: </w:t>
            </w:r>
          </w:p>
          <w:p w:rsidR="00AC0474" w:rsidRPr="00996EDD" w:rsidRDefault="00AC0474" w:rsidP="0060257A">
            <w:pPr>
              <w:tabs>
                <w:tab w:val="left" w:pos="720"/>
                <w:tab w:val="left" w:pos="1440"/>
                <w:tab w:val="left" w:pos="2070"/>
              </w:tabs>
              <w:rPr>
                <w:rFonts w:ascii="Arial" w:hAnsi="Arial" w:cs="Arial"/>
              </w:rPr>
            </w:pPr>
            <w:r w:rsidRPr="00222D3F">
              <w:rPr>
                <w:rFonts w:ascii="Arial" w:hAnsi="Arial" w:cs="Arial"/>
                <w:color w:val="000000"/>
                <w:lang w:val="en-US"/>
              </w:rPr>
              <w:t>Drainage (surface water/flooding)</w:t>
            </w:r>
            <w:r w:rsidRPr="00996EDD">
              <w:rPr>
                <w:rFonts w:ascii="Arial" w:hAnsi="Arial" w:cs="Arial"/>
              </w:rPr>
              <w:t xml:space="preserve"> infrastructure &amp; facilities</w:t>
            </w:r>
          </w:p>
        </w:tc>
        <w:tc>
          <w:tcPr>
            <w:tcW w:w="2250" w:type="dxa"/>
            <w:vAlign w:val="bottom"/>
          </w:tcPr>
          <w:p w:rsidR="00AC0474" w:rsidRPr="00195F5C" w:rsidRDefault="00AC0474" w:rsidP="0060257A">
            <w:pPr>
              <w:tabs>
                <w:tab w:val="left" w:pos="720"/>
                <w:tab w:val="left" w:pos="1440"/>
                <w:tab w:val="left" w:pos="2070"/>
              </w:tabs>
              <w:jc w:val="center"/>
              <w:rPr>
                <w:rFonts w:ascii="Arial" w:hAnsi="Arial" w:cs="Arial"/>
                <w:color w:val="000000"/>
              </w:rPr>
            </w:pPr>
            <w:r w:rsidRPr="00195F5C">
              <w:rPr>
                <w:rFonts w:ascii="Arial" w:hAnsi="Arial" w:cs="Arial"/>
                <w:color w:val="000000"/>
              </w:rPr>
              <w:t>€</w:t>
            </w:r>
            <w:r>
              <w:rPr>
                <w:rFonts w:ascii="Arial" w:hAnsi="Arial" w:cs="Arial"/>
                <w:color w:val="000000"/>
              </w:rPr>
              <w:t>5.70</w:t>
            </w:r>
          </w:p>
        </w:tc>
        <w:tc>
          <w:tcPr>
            <w:tcW w:w="2784" w:type="dxa"/>
            <w:vAlign w:val="bottom"/>
          </w:tcPr>
          <w:p w:rsidR="00AC0474" w:rsidRPr="00195F5C" w:rsidRDefault="00AC0474" w:rsidP="0060257A">
            <w:pPr>
              <w:tabs>
                <w:tab w:val="left" w:pos="720"/>
                <w:tab w:val="left" w:pos="1440"/>
                <w:tab w:val="left" w:pos="2070"/>
              </w:tabs>
              <w:jc w:val="center"/>
              <w:rPr>
                <w:rFonts w:ascii="Arial" w:hAnsi="Arial" w:cs="Arial"/>
                <w:color w:val="000000"/>
              </w:rPr>
            </w:pPr>
          </w:p>
          <w:p w:rsidR="00AC0474" w:rsidRPr="00195F5C" w:rsidRDefault="00AC0474" w:rsidP="0060257A">
            <w:pPr>
              <w:tabs>
                <w:tab w:val="left" w:pos="720"/>
                <w:tab w:val="left" w:pos="1440"/>
                <w:tab w:val="left" w:pos="2070"/>
              </w:tabs>
              <w:jc w:val="center"/>
              <w:rPr>
                <w:rFonts w:ascii="Arial" w:hAnsi="Arial" w:cs="Arial"/>
                <w:color w:val="000000"/>
              </w:rPr>
            </w:pPr>
            <w:r w:rsidRPr="00195F5C">
              <w:rPr>
                <w:rFonts w:ascii="Arial" w:hAnsi="Arial" w:cs="Arial"/>
                <w:color w:val="000000"/>
              </w:rPr>
              <w:t>€</w:t>
            </w:r>
            <w:r>
              <w:rPr>
                <w:rFonts w:ascii="Arial" w:hAnsi="Arial" w:cs="Arial"/>
                <w:color w:val="000000"/>
              </w:rPr>
              <w:t>5.93</w:t>
            </w:r>
          </w:p>
        </w:tc>
      </w:tr>
      <w:tr w:rsidR="00AC0474" w:rsidRPr="00996EDD" w:rsidTr="0060257A">
        <w:trPr>
          <w:jc w:val="center"/>
        </w:trPr>
        <w:tc>
          <w:tcPr>
            <w:tcW w:w="4230" w:type="dxa"/>
          </w:tcPr>
          <w:p w:rsidR="00AC0474" w:rsidRPr="00996EDD" w:rsidRDefault="00AC0474" w:rsidP="0060257A">
            <w:pPr>
              <w:tabs>
                <w:tab w:val="left" w:pos="720"/>
                <w:tab w:val="left" w:pos="1440"/>
                <w:tab w:val="left" w:pos="2070"/>
              </w:tabs>
              <w:ind w:left="972" w:hanging="990"/>
              <w:jc w:val="both"/>
              <w:rPr>
                <w:rFonts w:ascii="Arial" w:hAnsi="Arial" w:cs="Arial"/>
                <w:color w:val="000000"/>
              </w:rPr>
            </w:pPr>
            <w:r w:rsidRPr="00996EDD">
              <w:rPr>
                <w:rFonts w:ascii="Arial" w:hAnsi="Arial" w:cs="Arial"/>
                <w:color w:val="000000"/>
              </w:rPr>
              <w:t xml:space="preserve">Class 3:   </w:t>
            </w:r>
          </w:p>
          <w:p w:rsidR="00AC0474" w:rsidRPr="00996EDD" w:rsidRDefault="00AC0474" w:rsidP="0060257A">
            <w:pPr>
              <w:tabs>
                <w:tab w:val="left" w:pos="720"/>
                <w:tab w:val="left" w:pos="1440"/>
                <w:tab w:val="left" w:pos="2070"/>
              </w:tabs>
              <w:ind w:left="972" w:hanging="990"/>
              <w:rPr>
                <w:rFonts w:ascii="Arial" w:hAnsi="Arial" w:cs="Arial"/>
                <w:color w:val="000000"/>
              </w:rPr>
            </w:pPr>
            <w:r w:rsidRPr="00996EDD">
              <w:rPr>
                <w:rFonts w:ascii="Arial" w:hAnsi="Arial" w:cs="Arial"/>
                <w:color w:val="000000"/>
              </w:rPr>
              <w:t xml:space="preserve">Parks and open space facilities </w:t>
            </w:r>
          </w:p>
        </w:tc>
        <w:tc>
          <w:tcPr>
            <w:tcW w:w="2250" w:type="dxa"/>
            <w:vAlign w:val="center"/>
          </w:tcPr>
          <w:p w:rsidR="00AC0474" w:rsidRDefault="00AC0474" w:rsidP="0060257A">
            <w:pPr>
              <w:tabs>
                <w:tab w:val="left" w:pos="720"/>
                <w:tab w:val="left" w:pos="1440"/>
                <w:tab w:val="left" w:pos="2070"/>
              </w:tabs>
              <w:jc w:val="center"/>
              <w:rPr>
                <w:rFonts w:ascii="Arial" w:hAnsi="Arial" w:cs="Arial"/>
                <w:color w:val="000000"/>
              </w:rPr>
            </w:pPr>
          </w:p>
          <w:p w:rsidR="00AC0474" w:rsidRPr="00195F5C" w:rsidRDefault="00AC0474" w:rsidP="0060257A">
            <w:pPr>
              <w:tabs>
                <w:tab w:val="left" w:pos="720"/>
                <w:tab w:val="left" w:pos="1440"/>
                <w:tab w:val="left" w:pos="2070"/>
              </w:tabs>
              <w:jc w:val="center"/>
              <w:rPr>
                <w:rFonts w:ascii="Arial" w:hAnsi="Arial" w:cs="Arial"/>
                <w:color w:val="000000"/>
              </w:rPr>
            </w:pPr>
            <w:r w:rsidRPr="00195F5C">
              <w:rPr>
                <w:rFonts w:ascii="Arial" w:hAnsi="Arial" w:cs="Arial"/>
                <w:color w:val="000000"/>
              </w:rPr>
              <w:t>€</w:t>
            </w:r>
            <w:r>
              <w:rPr>
                <w:rFonts w:ascii="Arial" w:hAnsi="Arial" w:cs="Arial"/>
                <w:color w:val="000000"/>
              </w:rPr>
              <w:t>19.01</w:t>
            </w:r>
          </w:p>
        </w:tc>
        <w:tc>
          <w:tcPr>
            <w:tcW w:w="2784" w:type="dxa"/>
            <w:vAlign w:val="center"/>
          </w:tcPr>
          <w:p w:rsidR="00AC0474" w:rsidRDefault="00AC0474" w:rsidP="0060257A">
            <w:pPr>
              <w:tabs>
                <w:tab w:val="left" w:pos="720"/>
                <w:tab w:val="left" w:pos="1440"/>
                <w:tab w:val="left" w:pos="2070"/>
              </w:tabs>
              <w:jc w:val="center"/>
              <w:rPr>
                <w:rFonts w:ascii="Arial" w:hAnsi="Arial" w:cs="Arial"/>
                <w:color w:val="000000"/>
              </w:rPr>
            </w:pPr>
          </w:p>
          <w:p w:rsidR="00AC0474" w:rsidRPr="00195F5C" w:rsidRDefault="00AC0474" w:rsidP="0060257A">
            <w:pPr>
              <w:tabs>
                <w:tab w:val="left" w:pos="720"/>
                <w:tab w:val="left" w:pos="1440"/>
                <w:tab w:val="left" w:pos="2070"/>
              </w:tabs>
              <w:jc w:val="center"/>
              <w:rPr>
                <w:rFonts w:ascii="Arial" w:hAnsi="Arial" w:cs="Arial"/>
                <w:color w:val="000000"/>
              </w:rPr>
            </w:pPr>
            <w:r w:rsidRPr="00195F5C">
              <w:rPr>
                <w:rFonts w:ascii="Arial" w:hAnsi="Arial" w:cs="Arial"/>
                <w:color w:val="000000"/>
              </w:rPr>
              <w:t>€</w:t>
            </w:r>
            <w:r>
              <w:rPr>
                <w:rFonts w:ascii="Arial" w:hAnsi="Arial" w:cs="Arial"/>
                <w:color w:val="000000"/>
              </w:rPr>
              <w:t>19.81</w:t>
            </w:r>
          </w:p>
        </w:tc>
      </w:tr>
      <w:tr w:rsidR="00AC0474" w:rsidRPr="00996EDD" w:rsidTr="0060257A">
        <w:trPr>
          <w:jc w:val="center"/>
        </w:trPr>
        <w:tc>
          <w:tcPr>
            <w:tcW w:w="4230" w:type="dxa"/>
          </w:tcPr>
          <w:p w:rsidR="00AC0474" w:rsidRPr="00996EDD" w:rsidRDefault="00AC0474" w:rsidP="0060257A">
            <w:pPr>
              <w:tabs>
                <w:tab w:val="left" w:pos="720"/>
                <w:tab w:val="left" w:pos="1440"/>
                <w:tab w:val="left" w:pos="2070"/>
              </w:tabs>
              <w:ind w:left="972" w:hanging="990"/>
              <w:jc w:val="both"/>
              <w:rPr>
                <w:rFonts w:ascii="Arial" w:hAnsi="Arial" w:cs="Arial"/>
                <w:color w:val="000000"/>
              </w:rPr>
            </w:pPr>
            <w:r w:rsidRPr="00996EDD">
              <w:rPr>
                <w:rFonts w:ascii="Arial" w:hAnsi="Arial" w:cs="Arial"/>
                <w:color w:val="000000"/>
              </w:rPr>
              <w:t xml:space="preserve">Class 4:   </w:t>
            </w:r>
          </w:p>
          <w:p w:rsidR="00AC0474" w:rsidRPr="00996EDD" w:rsidRDefault="00AC0474" w:rsidP="0060257A">
            <w:pPr>
              <w:tabs>
                <w:tab w:val="left" w:pos="720"/>
                <w:tab w:val="left" w:pos="1440"/>
                <w:tab w:val="left" w:pos="2070"/>
              </w:tabs>
              <w:ind w:left="972" w:hanging="990"/>
              <w:rPr>
                <w:rFonts w:ascii="Arial" w:hAnsi="Arial" w:cs="Arial"/>
                <w:color w:val="000000"/>
              </w:rPr>
            </w:pPr>
            <w:r w:rsidRPr="00996EDD">
              <w:rPr>
                <w:rFonts w:ascii="Arial" w:hAnsi="Arial" w:cs="Arial"/>
                <w:color w:val="000000"/>
              </w:rPr>
              <w:t>Community facilities &amp; amenities</w:t>
            </w:r>
          </w:p>
        </w:tc>
        <w:tc>
          <w:tcPr>
            <w:tcW w:w="2250" w:type="dxa"/>
            <w:vAlign w:val="center"/>
          </w:tcPr>
          <w:p w:rsidR="00AC0474" w:rsidRDefault="00AC0474" w:rsidP="0060257A">
            <w:pPr>
              <w:tabs>
                <w:tab w:val="left" w:pos="720"/>
                <w:tab w:val="left" w:pos="1440"/>
                <w:tab w:val="left" w:pos="2070"/>
              </w:tabs>
              <w:jc w:val="center"/>
              <w:rPr>
                <w:rFonts w:ascii="Arial" w:hAnsi="Arial" w:cs="Arial"/>
                <w:color w:val="000000"/>
              </w:rPr>
            </w:pPr>
          </w:p>
          <w:p w:rsidR="00AC0474" w:rsidRPr="00195F5C" w:rsidRDefault="00AC0474" w:rsidP="0060257A">
            <w:pPr>
              <w:tabs>
                <w:tab w:val="left" w:pos="720"/>
                <w:tab w:val="left" w:pos="1440"/>
                <w:tab w:val="left" w:pos="2070"/>
              </w:tabs>
              <w:jc w:val="center"/>
              <w:rPr>
                <w:rFonts w:ascii="Arial" w:hAnsi="Arial" w:cs="Arial"/>
                <w:color w:val="000000"/>
              </w:rPr>
            </w:pPr>
            <w:r w:rsidRPr="00195F5C">
              <w:rPr>
                <w:rFonts w:ascii="Arial" w:hAnsi="Arial" w:cs="Arial"/>
                <w:color w:val="000000"/>
              </w:rPr>
              <w:t>€</w:t>
            </w:r>
            <w:r>
              <w:rPr>
                <w:rFonts w:ascii="Arial" w:hAnsi="Arial" w:cs="Arial"/>
                <w:color w:val="000000"/>
              </w:rPr>
              <w:t>25.00</w:t>
            </w:r>
          </w:p>
        </w:tc>
        <w:tc>
          <w:tcPr>
            <w:tcW w:w="2784" w:type="dxa"/>
            <w:vAlign w:val="center"/>
          </w:tcPr>
          <w:p w:rsidR="00AC0474" w:rsidRDefault="00AC0474" w:rsidP="0060257A">
            <w:pPr>
              <w:tabs>
                <w:tab w:val="left" w:pos="720"/>
                <w:tab w:val="left" w:pos="1440"/>
                <w:tab w:val="left" w:pos="2070"/>
              </w:tabs>
              <w:jc w:val="center"/>
              <w:rPr>
                <w:rFonts w:ascii="Arial" w:hAnsi="Arial" w:cs="Arial"/>
                <w:color w:val="000000"/>
              </w:rPr>
            </w:pPr>
          </w:p>
          <w:p w:rsidR="00AC0474" w:rsidRPr="00195F5C" w:rsidRDefault="00AC0474" w:rsidP="0060257A">
            <w:pPr>
              <w:tabs>
                <w:tab w:val="left" w:pos="720"/>
                <w:tab w:val="left" w:pos="1440"/>
                <w:tab w:val="left" w:pos="2070"/>
              </w:tabs>
              <w:jc w:val="center"/>
              <w:rPr>
                <w:rFonts w:ascii="Arial" w:hAnsi="Arial" w:cs="Arial"/>
                <w:color w:val="000000"/>
              </w:rPr>
            </w:pPr>
            <w:r w:rsidRPr="00195F5C">
              <w:rPr>
                <w:rFonts w:ascii="Arial" w:hAnsi="Arial" w:cs="Arial"/>
                <w:color w:val="000000"/>
              </w:rPr>
              <w:t>€</w:t>
            </w:r>
            <w:r>
              <w:rPr>
                <w:rFonts w:ascii="Arial" w:hAnsi="Arial" w:cs="Arial"/>
                <w:color w:val="000000"/>
              </w:rPr>
              <w:t>26.05</w:t>
            </w:r>
          </w:p>
        </w:tc>
      </w:tr>
      <w:tr w:rsidR="00AC0474" w:rsidRPr="00996EDD" w:rsidTr="0060257A">
        <w:trPr>
          <w:jc w:val="center"/>
        </w:trPr>
        <w:tc>
          <w:tcPr>
            <w:tcW w:w="4230" w:type="dxa"/>
          </w:tcPr>
          <w:p w:rsidR="00AC0474" w:rsidRPr="00996EDD" w:rsidRDefault="00AC0474" w:rsidP="0060257A">
            <w:pPr>
              <w:tabs>
                <w:tab w:val="left" w:pos="720"/>
                <w:tab w:val="left" w:pos="1440"/>
                <w:tab w:val="left" w:pos="2070"/>
              </w:tabs>
              <w:ind w:left="972" w:hanging="990"/>
              <w:jc w:val="both"/>
              <w:rPr>
                <w:rFonts w:ascii="Arial" w:hAnsi="Arial" w:cs="Arial"/>
                <w:color w:val="000000"/>
              </w:rPr>
            </w:pPr>
            <w:r w:rsidRPr="00996EDD">
              <w:rPr>
                <w:rFonts w:ascii="Arial" w:hAnsi="Arial" w:cs="Arial"/>
                <w:color w:val="000000"/>
              </w:rPr>
              <w:t xml:space="preserve">Class 5:   </w:t>
            </w:r>
          </w:p>
          <w:p w:rsidR="00AC0474" w:rsidRPr="00996EDD" w:rsidRDefault="00AC0474" w:rsidP="0060257A">
            <w:pPr>
              <w:tabs>
                <w:tab w:val="left" w:pos="720"/>
                <w:tab w:val="left" w:pos="1440"/>
                <w:tab w:val="left" w:pos="2070"/>
              </w:tabs>
              <w:ind w:left="972" w:hanging="990"/>
              <w:rPr>
                <w:rFonts w:ascii="Arial" w:hAnsi="Arial" w:cs="Arial"/>
                <w:color w:val="000000"/>
              </w:rPr>
            </w:pPr>
            <w:r w:rsidRPr="00996EDD">
              <w:rPr>
                <w:rFonts w:ascii="Arial" w:hAnsi="Arial" w:cs="Arial"/>
                <w:color w:val="000000"/>
              </w:rPr>
              <w:t xml:space="preserve">Urban regeneration facilities &amp; amenities </w:t>
            </w:r>
          </w:p>
        </w:tc>
        <w:tc>
          <w:tcPr>
            <w:tcW w:w="2250" w:type="dxa"/>
            <w:vAlign w:val="center"/>
          </w:tcPr>
          <w:p w:rsidR="00AC0474" w:rsidRPr="00996EDD" w:rsidRDefault="00AC0474" w:rsidP="0060257A">
            <w:pPr>
              <w:tabs>
                <w:tab w:val="left" w:pos="720"/>
                <w:tab w:val="left" w:pos="1440"/>
                <w:tab w:val="left" w:pos="2070"/>
              </w:tabs>
              <w:jc w:val="center"/>
              <w:rPr>
                <w:rFonts w:ascii="Arial" w:hAnsi="Arial" w:cs="Arial"/>
                <w:color w:val="000000"/>
                <w:u w:val="single"/>
              </w:rPr>
            </w:pPr>
          </w:p>
          <w:p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s="Arial"/>
                <w:color w:val="000000"/>
              </w:rPr>
              <w:t>€29.71</w:t>
            </w:r>
          </w:p>
        </w:tc>
        <w:tc>
          <w:tcPr>
            <w:tcW w:w="2784" w:type="dxa"/>
            <w:vAlign w:val="center"/>
          </w:tcPr>
          <w:p w:rsidR="00AC0474" w:rsidRPr="00996EDD" w:rsidRDefault="00AC0474" w:rsidP="0060257A">
            <w:pPr>
              <w:tabs>
                <w:tab w:val="left" w:pos="720"/>
                <w:tab w:val="left" w:pos="1440"/>
                <w:tab w:val="left" w:pos="2070"/>
              </w:tabs>
              <w:jc w:val="center"/>
              <w:rPr>
                <w:rFonts w:ascii="Arial" w:hAnsi="Arial" w:cs="Arial"/>
                <w:color w:val="000000"/>
                <w:u w:val="single"/>
              </w:rPr>
            </w:pPr>
          </w:p>
          <w:p w:rsidR="00AC0474" w:rsidRPr="00996EDD" w:rsidRDefault="00AC0474" w:rsidP="0060257A">
            <w:pPr>
              <w:tabs>
                <w:tab w:val="left" w:pos="720"/>
                <w:tab w:val="left" w:pos="1440"/>
                <w:tab w:val="left" w:pos="2070"/>
              </w:tabs>
              <w:jc w:val="center"/>
              <w:rPr>
                <w:rFonts w:ascii="Arial" w:hAnsi="Arial" w:cs="Arial"/>
                <w:color w:val="000000"/>
              </w:rPr>
            </w:pPr>
            <w:r>
              <w:rPr>
                <w:rFonts w:ascii="Arial" w:hAnsi="Arial" w:cs="Arial"/>
                <w:color w:val="000000"/>
              </w:rPr>
              <w:t>€30.96</w:t>
            </w:r>
          </w:p>
        </w:tc>
      </w:tr>
      <w:tr w:rsidR="00AC0474" w:rsidRPr="00996EDD" w:rsidTr="0060257A">
        <w:trPr>
          <w:trHeight w:val="395"/>
          <w:jc w:val="center"/>
        </w:trPr>
        <w:tc>
          <w:tcPr>
            <w:tcW w:w="4230" w:type="dxa"/>
          </w:tcPr>
          <w:p w:rsidR="00AC0474" w:rsidRPr="00996EDD" w:rsidRDefault="00AC0474" w:rsidP="0060257A">
            <w:pPr>
              <w:tabs>
                <w:tab w:val="left" w:pos="720"/>
                <w:tab w:val="left" w:pos="1440"/>
                <w:tab w:val="left" w:pos="2070"/>
              </w:tabs>
              <w:jc w:val="both"/>
              <w:rPr>
                <w:rFonts w:ascii="Arial" w:hAnsi="Arial" w:cs="Arial"/>
                <w:b/>
                <w:color w:val="000000"/>
              </w:rPr>
            </w:pPr>
          </w:p>
          <w:p w:rsidR="00AC0474" w:rsidRPr="00996EDD" w:rsidRDefault="00AC0474" w:rsidP="0060257A">
            <w:pPr>
              <w:tabs>
                <w:tab w:val="left" w:pos="720"/>
                <w:tab w:val="left" w:pos="1440"/>
                <w:tab w:val="left" w:pos="2070"/>
              </w:tabs>
              <w:jc w:val="both"/>
              <w:rPr>
                <w:rFonts w:ascii="Arial" w:hAnsi="Arial" w:cs="Arial"/>
                <w:b/>
                <w:color w:val="000000"/>
              </w:rPr>
            </w:pPr>
            <w:r w:rsidRPr="00996EDD">
              <w:rPr>
                <w:rFonts w:ascii="Arial" w:hAnsi="Arial" w:cs="Arial"/>
                <w:b/>
                <w:color w:val="000000"/>
              </w:rPr>
              <w:t>Total of Contributions Payable</w:t>
            </w:r>
          </w:p>
          <w:p w:rsidR="00AC0474" w:rsidRPr="00996EDD" w:rsidRDefault="00AC0474" w:rsidP="0060257A">
            <w:pPr>
              <w:tabs>
                <w:tab w:val="left" w:pos="720"/>
                <w:tab w:val="left" w:pos="1440"/>
                <w:tab w:val="left" w:pos="2070"/>
              </w:tabs>
              <w:jc w:val="both"/>
              <w:rPr>
                <w:rFonts w:ascii="Arial" w:hAnsi="Arial" w:cs="Arial"/>
                <w:b/>
                <w:color w:val="000000"/>
              </w:rPr>
            </w:pPr>
          </w:p>
        </w:tc>
        <w:tc>
          <w:tcPr>
            <w:tcW w:w="2250" w:type="dxa"/>
            <w:vAlign w:val="center"/>
          </w:tcPr>
          <w:p w:rsidR="00AC0474" w:rsidRPr="00996EDD" w:rsidRDefault="00AC0474" w:rsidP="0060257A">
            <w:pPr>
              <w:tabs>
                <w:tab w:val="left" w:pos="720"/>
                <w:tab w:val="left" w:pos="1440"/>
                <w:tab w:val="left" w:pos="2070"/>
              </w:tabs>
              <w:jc w:val="center"/>
              <w:rPr>
                <w:rFonts w:ascii="Arial" w:hAnsi="Arial" w:cs="Arial"/>
                <w:b/>
                <w:color w:val="000000"/>
              </w:rPr>
            </w:pPr>
            <w:r w:rsidRPr="00996EDD">
              <w:rPr>
                <w:rFonts w:ascii="Arial" w:hAnsi="Arial" w:cs="Arial"/>
                <w:b/>
                <w:color w:val="000000"/>
              </w:rPr>
              <w:t>€</w:t>
            </w:r>
            <w:r>
              <w:rPr>
                <w:rFonts w:ascii="Arial" w:hAnsi="Arial" w:cs="Arial"/>
                <w:b/>
                <w:color w:val="000000"/>
              </w:rPr>
              <w:t>113.82</w:t>
            </w:r>
          </w:p>
        </w:tc>
        <w:tc>
          <w:tcPr>
            <w:tcW w:w="2784" w:type="dxa"/>
            <w:vAlign w:val="center"/>
          </w:tcPr>
          <w:p w:rsidR="00AC0474" w:rsidRPr="00996EDD" w:rsidRDefault="00AC0474" w:rsidP="0060257A">
            <w:pPr>
              <w:tabs>
                <w:tab w:val="left" w:pos="720"/>
                <w:tab w:val="left" w:pos="1440"/>
                <w:tab w:val="left" w:pos="2070"/>
              </w:tabs>
              <w:jc w:val="center"/>
              <w:rPr>
                <w:rFonts w:ascii="Arial" w:hAnsi="Arial" w:cs="Arial"/>
                <w:b/>
                <w:color w:val="000000"/>
              </w:rPr>
            </w:pPr>
            <w:r>
              <w:rPr>
                <w:rFonts w:ascii="Arial" w:hAnsi="Arial" w:cs="Arial"/>
                <w:b/>
                <w:color w:val="000000"/>
              </w:rPr>
              <w:t>€118.60</w:t>
            </w:r>
          </w:p>
        </w:tc>
      </w:tr>
    </w:tbl>
    <w:p w:rsidR="00AC0474" w:rsidRPr="00996EDD" w:rsidRDefault="00AC0474" w:rsidP="00AC0474">
      <w:pPr>
        <w:tabs>
          <w:tab w:val="left" w:pos="720"/>
          <w:tab w:val="left" w:pos="1440"/>
          <w:tab w:val="left" w:pos="2070"/>
        </w:tabs>
        <w:ind w:left="720"/>
        <w:jc w:val="both"/>
        <w:rPr>
          <w:rFonts w:ascii="Arial" w:hAnsi="Arial" w:cs="Arial"/>
          <w:color w:val="000000"/>
        </w:rPr>
      </w:pPr>
    </w:p>
    <w:p w:rsidR="00AC0474" w:rsidRDefault="00AC0474" w:rsidP="00AC0474">
      <w:pPr>
        <w:rPr>
          <w:rFonts w:ascii="Arial" w:hAnsi="Arial" w:cs="Arial"/>
          <w:color w:val="000000"/>
          <w:lang w:val="en-US"/>
        </w:rPr>
      </w:pPr>
      <w:r w:rsidRPr="00996EDD">
        <w:rPr>
          <w:rFonts w:ascii="Arial" w:hAnsi="Arial" w:cs="Arial"/>
          <w:b/>
          <w:color w:val="000000"/>
        </w:rPr>
        <w:t>Note 1:</w:t>
      </w:r>
      <w:r w:rsidRPr="00996EDD">
        <w:rPr>
          <w:rFonts w:ascii="Arial" w:hAnsi="Arial" w:cs="Arial"/>
          <w:b/>
          <w:bCs/>
          <w:color w:val="FF0000"/>
        </w:rPr>
        <w:t xml:space="preserve"> </w:t>
      </w:r>
      <w:r w:rsidRPr="00F5321B">
        <w:rPr>
          <w:rFonts w:ascii="Arial" w:hAnsi="Arial" w:cs="Arial"/>
          <w:color w:val="000000"/>
          <w:lang w:val="en-US"/>
        </w:rPr>
        <w:t xml:space="preserve">This </w:t>
      </w:r>
      <w:r>
        <w:rPr>
          <w:rFonts w:ascii="Arial" w:hAnsi="Arial" w:cs="Arial"/>
          <w:color w:val="000000"/>
          <w:lang w:val="en-US"/>
        </w:rPr>
        <w:t>s</w:t>
      </w:r>
      <w:r w:rsidRPr="00F5321B">
        <w:rPr>
          <w:rFonts w:ascii="Arial" w:hAnsi="Arial" w:cs="Arial"/>
          <w:color w:val="000000"/>
          <w:lang w:val="en-US"/>
        </w:rPr>
        <w:t xml:space="preserve">cheme is effective in respect of Planning Applications lodged with Dublin City Council from </w:t>
      </w:r>
      <w:r w:rsidR="00D744E8">
        <w:rPr>
          <w:rFonts w:ascii="Arial" w:hAnsi="Arial" w:cs="Arial"/>
          <w:color w:val="000000"/>
          <w:lang w:val="en-US"/>
        </w:rPr>
        <w:t>1</w:t>
      </w:r>
      <w:r w:rsidR="00D744E8" w:rsidRPr="000228A8">
        <w:rPr>
          <w:rFonts w:ascii="Arial" w:hAnsi="Arial" w:cs="Arial"/>
          <w:color w:val="000000"/>
          <w:vertAlign w:val="superscript"/>
          <w:lang w:val="en-US"/>
        </w:rPr>
        <w:t>st</w:t>
      </w:r>
      <w:r w:rsidR="00D744E8">
        <w:rPr>
          <w:rFonts w:ascii="Arial" w:hAnsi="Arial" w:cs="Arial"/>
          <w:color w:val="000000"/>
          <w:lang w:val="en-US"/>
        </w:rPr>
        <w:t xml:space="preserve"> April</w:t>
      </w:r>
      <w:r w:rsidRPr="00F5321B">
        <w:rPr>
          <w:rFonts w:ascii="Arial" w:hAnsi="Arial" w:cs="Arial"/>
          <w:color w:val="000000"/>
          <w:lang w:val="en-US"/>
        </w:rPr>
        <w:t xml:space="preserve"> 2023, where a development contribution i</w:t>
      </w:r>
      <w:r>
        <w:rPr>
          <w:rFonts w:ascii="Arial" w:hAnsi="Arial" w:cs="Arial"/>
          <w:color w:val="000000"/>
          <w:lang w:val="en-US"/>
        </w:rPr>
        <w:t>s applicable under this Scheme.</w:t>
      </w:r>
    </w:p>
    <w:p w:rsidR="00AC0474" w:rsidRPr="00261C2F" w:rsidRDefault="00AC0474" w:rsidP="00AC0474">
      <w:pPr>
        <w:rPr>
          <w:rFonts w:ascii="Arial" w:hAnsi="Arial" w:cs="Arial"/>
          <w:lang w:val="en-US"/>
        </w:rPr>
      </w:pPr>
      <w:r w:rsidRPr="00261C2F">
        <w:rPr>
          <w:rFonts w:ascii="Arial" w:hAnsi="Arial" w:cs="Arial"/>
          <w:lang w:val="en-US"/>
        </w:rPr>
        <w:t>In the case of existing permissions granted before the 1</w:t>
      </w:r>
      <w:r w:rsidRPr="00261C2F">
        <w:rPr>
          <w:rFonts w:ascii="Arial" w:hAnsi="Arial" w:cs="Arial"/>
          <w:vertAlign w:val="superscript"/>
          <w:lang w:val="en-US"/>
        </w:rPr>
        <w:t>st</w:t>
      </w:r>
      <w:r w:rsidRPr="00261C2F">
        <w:rPr>
          <w:rFonts w:ascii="Arial" w:hAnsi="Arial" w:cs="Arial"/>
          <w:lang w:val="en-US"/>
        </w:rPr>
        <w:t xml:space="preserve"> April 2023 which have not yet commenced and in the case of applications lodged but not yet decided the applicable scheme is the scheme in place at the time of lodgment of the relevant application.</w:t>
      </w:r>
    </w:p>
    <w:p w:rsidR="00AC0474" w:rsidRPr="00261C2F" w:rsidRDefault="00AC0474" w:rsidP="00AC0474">
      <w:pPr>
        <w:rPr>
          <w:rFonts w:ascii="Arial" w:hAnsi="Arial" w:cs="Arial"/>
          <w:color w:val="000000"/>
        </w:rPr>
      </w:pPr>
      <w:r w:rsidRPr="00261C2F">
        <w:rPr>
          <w:rFonts w:ascii="Arial" w:hAnsi="Arial" w:cs="Arial"/>
          <w:color w:val="000000"/>
        </w:rPr>
        <w:lastRenderedPageBreak/>
        <w:t xml:space="preserve">The above rates shall be fixed from 1st April 2023 to 31st </w:t>
      </w:r>
      <w:r w:rsidRPr="00261C2F">
        <w:rPr>
          <w:rFonts w:ascii="Arial" w:hAnsi="Arial" w:cs="Arial"/>
          <w:color w:val="000000"/>
          <w:lang w:val="en-US"/>
        </w:rPr>
        <w:t>December 2024</w:t>
      </w:r>
      <w:r w:rsidRPr="00261C2F">
        <w:rPr>
          <w:rFonts w:ascii="Arial" w:hAnsi="Arial" w:cs="Arial"/>
          <w:color w:val="000000"/>
        </w:rPr>
        <w:t>. Consideration may be given to applying indexation to the rates of contribution effective thereafter</w:t>
      </w:r>
      <w:r w:rsidRPr="00261C2F">
        <w:rPr>
          <w:rFonts w:ascii="Arial" w:hAnsi="Arial" w:cs="Arial"/>
          <w:color w:val="000000"/>
          <w:lang w:val="en-US"/>
        </w:rPr>
        <w:t xml:space="preserve"> in</w:t>
      </w:r>
      <w:r w:rsidRPr="00261C2F">
        <w:rPr>
          <w:rFonts w:ascii="Arial" w:hAnsi="Arial" w:cs="Arial"/>
          <w:color w:val="000000"/>
        </w:rPr>
        <w:t xml:space="preserve"> consideration of the SCSI Construction Tender Price Index. </w:t>
      </w:r>
    </w:p>
    <w:p w:rsidR="00AC0474" w:rsidRPr="00261C2F" w:rsidRDefault="00AC0474" w:rsidP="00AC0474">
      <w:pPr>
        <w:spacing w:after="0" w:line="240" w:lineRule="auto"/>
        <w:rPr>
          <w:rFonts w:ascii="Arial" w:hAnsi="Arial" w:cs="Arial"/>
          <w:b/>
          <w:color w:val="000000"/>
        </w:rPr>
      </w:pPr>
      <w:r w:rsidRPr="00261C2F">
        <w:rPr>
          <w:rFonts w:ascii="Arial" w:hAnsi="Arial" w:cs="Arial"/>
          <w:b/>
          <w:color w:val="000000"/>
        </w:rPr>
        <w:t>Note 2:</w:t>
      </w:r>
    </w:p>
    <w:p w:rsidR="00AC0474" w:rsidRPr="00261C2F" w:rsidRDefault="00AC0474" w:rsidP="00AC0474">
      <w:pPr>
        <w:spacing w:after="0" w:line="240" w:lineRule="auto"/>
        <w:ind w:left="720"/>
        <w:rPr>
          <w:rFonts w:ascii="Arial" w:hAnsi="Arial" w:cs="Arial"/>
          <w:color w:val="000000"/>
        </w:rPr>
      </w:pPr>
      <w:r w:rsidRPr="00261C2F">
        <w:rPr>
          <w:rFonts w:ascii="Arial" w:hAnsi="Arial" w:cs="Arial"/>
          <w:color w:val="000000"/>
        </w:rPr>
        <w:t xml:space="preserve">(a) </w:t>
      </w:r>
      <w:r w:rsidRPr="00261C2F">
        <w:rPr>
          <w:rFonts w:ascii="Arial" w:hAnsi="Arial" w:cs="Arial"/>
        </w:rPr>
        <w:t xml:space="preserve">The floor area of proposed development in a single dwelling unit or commercial development shall be calculated as the gross floor area. </w:t>
      </w:r>
      <w:r w:rsidRPr="00261C2F">
        <w:rPr>
          <w:rFonts w:ascii="Arial" w:hAnsi="Arial" w:cs="Arial"/>
          <w:color w:val="000000"/>
        </w:rPr>
        <w:t xml:space="preserve">This means the area ascertained by the internal measurement of the floor space on each floor of a building (including internal walls and partitions) and including mezzanine floors. </w:t>
      </w:r>
    </w:p>
    <w:p w:rsidR="00AC0474" w:rsidRPr="00261C2F" w:rsidRDefault="00AC0474" w:rsidP="00AC0474">
      <w:pPr>
        <w:ind w:left="284"/>
        <w:rPr>
          <w:rFonts w:ascii="Arial" w:hAnsi="Arial" w:cs="Arial"/>
          <w:color w:val="000000"/>
        </w:rPr>
      </w:pPr>
    </w:p>
    <w:p w:rsidR="00AC0474" w:rsidRPr="00261C2F" w:rsidRDefault="00AC0474" w:rsidP="00AC0474">
      <w:pPr>
        <w:ind w:left="720"/>
        <w:rPr>
          <w:rFonts w:ascii="Arial" w:hAnsi="Arial" w:cs="Arial"/>
          <w:color w:val="000000"/>
        </w:rPr>
      </w:pPr>
      <w:r w:rsidRPr="00261C2F">
        <w:rPr>
          <w:rFonts w:ascii="Arial" w:hAnsi="Arial" w:cs="Arial"/>
          <w:color w:val="000000"/>
        </w:rPr>
        <w:t xml:space="preserve">(b) In the case of multi-unit residential buildings, the gross floor area of the development shall be calculated excluding common circulation areas, bin and bicycle storage areas and ancillary uses solely for residents. </w:t>
      </w:r>
    </w:p>
    <w:p w:rsidR="00AC0474" w:rsidRPr="00261C2F" w:rsidRDefault="00AC0474" w:rsidP="00AC0474">
      <w:pPr>
        <w:rPr>
          <w:rFonts w:ascii="Arial" w:hAnsi="Arial" w:cs="Arial"/>
        </w:rPr>
      </w:pPr>
      <w:r w:rsidRPr="00261C2F">
        <w:rPr>
          <w:rFonts w:ascii="Arial" w:hAnsi="Arial" w:cs="Arial"/>
        </w:rPr>
        <w:t>In all cases, the floor area of proposed development shall be calculated to include car parking.</w:t>
      </w:r>
    </w:p>
    <w:p w:rsidR="00AC0474" w:rsidRPr="000C0CC4" w:rsidRDefault="00AC0474" w:rsidP="00AC0474">
      <w:pPr>
        <w:tabs>
          <w:tab w:val="left" w:pos="720"/>
          <w:tab w:val="left" w:pos="1440"/>
          <w:tab w:val="left" w:pos="2070"/>
        </w:tabs>
        <w:rPr>
          <w:rFonts w:ascii="Arial" w:hAnsi="Arial" w:cs="Arial"/>
        </w:rPr>
      </w:pPr>
      <w:r w:rsidRPr="00996EDD">
        <w:rPr>
          <w:rFonts w:ascii="Arial" w:hAnsi="Arial" w:cs="Arial"/>
          <w:b/>
          <w:color w:val="000000"/>
        </w:rPr>
        <w:t>Note 3:</w:t>
      </w:r>
      <w:r w:rsidRPr="00996EDD">
        <w:rPr>
          <w:rFonts w:ascii="Arial" w:hAnsi="Arial" w:cs="Arial"/>
          <w:color w:val="000000"/>
        </w:rPr>
        <w:t xml:space="preserve"> </w:t>
      </w:r>
      <w:r w:rsidRPr="000C0CC4">
        <w:rPr>
          <w:rFonts w:ascii="Arial" w:hAnsi="Arial" w:cs="Arial"/>
        </w:rPr>
        <w:t xml:space="preserve">New extensions to existing developments, including domestic extensions, will be charged at the above rates, other than in circumstances where no contribution or a reduced contribution applies as per below.  </w:t>
      </w:r>
    </w:p>
    <w:p w:rsidR="00AC0474" w:rsidRDefault="00AC0474" w:rsidP="00AC0474">
      <w:pPr>
        <w:jc w:val="center"/>
        <w:rPr>
          <w:rFonts w:ascii="Arial" w:hAnsi="Arial" w:cs="Arial"/>
          <w:b/>
          <w:color w:val="000000"/>
        </w:rPr>
      </w:pPr>
    </w:p>
    <w:p w:rsidR="00AC0474" w:rsidRDefault="00AC0474" w:rsidP="00AC0474">
      <w:pPr>
        <w:jc w:val="center"/>
        <w:rPr>
          <w:rFonts w:ascii="Arial" w:hAnsi="Arial" w:cs="Arial"/>
          <w:b/>
        </w:rPr>
      </w:pPr>
      <w:r w:rsidRPr="00996EDD">
        <w:rPr>
          <w:rFonts w:ascii="Arial" w:hAnsi="Arial" w:cs="Arial"/>
          <w:b/>
          <w:color w:val="000000"/>
        </w:rPr>
        <w:t xml:space="preserve">CONTRIBUTION IN LIEU OF </w:t>
      </w:r>
      <w:r w:rsidRPr="008039ED">
        <w:rPr>
          <w:rFonts w:ascii="Arial" w:hAnsi="Arial" w:cs="Arial"/>
          <w:b/>
        </w:rPr>
        <w:t>PUBLIC OPEN SPACE</w:t>
      </w:r>
      <w:r>
        <w:rPr>
          <w:rFonts w:ascii="Arial" w:hAnsi="Arial" w:cs="Arial"/>
          <w:b/>
        </w:rPr>
        <w:t>:</w:t>
      </w:r>
    </w:p>
    <w:p w:rsidR="00AC0474" w:rsidRDefault="00AC0474" w:rsidP="00AC0474">
      <w:pPr>
        <w:pStyle w:val="ListBullet"/>
        <w:numPr>
          <w:ilvl w:val="0"/>
          <w:numId w:val="0"/>
        </w:numPr>
        <w:ind w:left="360"/>
        <w:rPr>
          <w:rFonts w:ascii="Arial" w:hAnsi="Arial" w:cs="Arial"/>
          <w:color w:val="000000"/>
          <w:sz w:val="22"/>
          <w:szCs w:val="22"/>
        </w:rPr>
      </w:pPr>
      <w:r w:rsidRPr="001E7A8F">
        <w:rPr>
          <w:rFonts w:ascii="Arial" w:hAnsi="Arial" w:cs="Arial"/>
          <w:color w:val="000000"/>
          <w:sz w:val="22"/>
          <w:szCs w:val="22"/>
        </w:rPr>
        <w:t>The Dublin City Development Plan provides discretion to the Council to determine a financial contribution in lieu of all or part of the public open space requirement for a particular development</w:t>
      </w:r>
      <w:r w:rsidRPr="00272D36">
        <w:rPr>
          <w:rFonts w:ascii="Arial" w:hAnsi="Arial" w:cs="Arial"/>
          <w:b/>
          <w:color w:val="000000"/>
          <w:sz w:val="22"/>
          <w:szCs w:val="22"/>
        </w:rPr>
        <w:t xml:space="preserve"> </w:t>
      </w:r>
      <w:r w:rsidRPr="00C626AE">
        <w:rPr>
          <w:rFonts w:ascii="Arial" w:hAnsi="Arial" w:cs="Arial"/>
          <w:color w:val="000000"/>
          <w:sz w:val="22"/>
          <w:szCs w:val="22"/>
        </w:rPr>
        <w:t xml:space="preserve">in the event of the planning authority considering a site to be too small or inappropriate to fulfill Dublin City Development Plan requirements for public open space provision. </w:t>
      </w:r>
    </w:p>
    <w:p w:rsidR="00AC0474" w:rsidRDefault="00AC0474" w:rsidP="00AC0474">
      <w:pPr>
        <w:pStyle w:val="ListBullet"/>
        <w:numPr>
          <w:ilvl w:val="0"/>
          <w:numId w:val="0"/>
        </w:numPr>
        <w:ind w:left="360"/>
        <w:rPr>
          <w:rFonts w:ascii="Arial" w:hAnsi="Arial" w:cs="Arial"/>
          <w:color w:val="000000"/>
          <w:sz w:val="22"/>
          <w:szCs w:val="22"/>
        </w:rPr>
      </w:pPr>
    </w:p>
    <w:p w:rsidR="00AC0474" w:rsidRPr="00C626AE" w:rsidRDefault="00AC0474" w:rsidP="00AC0474">
      <w:pPr>
        <w:pStyle w:val="ListBullet"/>
        <w:numPr>
          <w:ilvl w:val="0"/>
          <w:numId w:val="0"/>
        </w:numPr>
        <w:ind w:left="360"/>
        <w:rPr>
          <w:rFonts w:ascii="Arial" w:hAnsi="Arial" w:cs="Arial"/>
          <w:color w:val="000000"/>
          <w:sz w:val="22"/>
          <w:szCs w:val="22"/>
        </w:rPr>
      </w:pPr>
      <w:r w:rsidRPr="00C626AE">
        <w:rPr>
          <w:rFonts w:ascii="Arial" w:hAnsi="Arial" w:cs="Arial"/>
          <w:color w:val="000000"/>
          <w:sz w:val="22"/>
          <w:szCs w:val="22"/>
        </w:rPr>
        <w:t xml:space="preserve">A financial contribution of </w:t>
      </w:r>
      <w:r w:rsidRPr="00102752">
        <w:rPr>
          <w:rFonts w:ascii="Arial" w:hAnsi="Arial" w:cs="Arial"/>
          <w:color w:val="000000"/>
          <w:sz w:val="22"/>
          <w:szCs w:val="22"/>
        </w:rPr>
        <w:t>€5,000</w:t>
      </w:r>
      <w:r w:rsidRPr="00C626AE">
        <w:rPr>
          <w:rFonts w:ascii="Arial" w:hAnsi="Arial" w:cs="Arial"/>
          <w:color w:val="000000"/>
          <w:sz w:val="22"/>
          <w:szCs w:val="22"/>
        </w:rPr>
        <w:t xml:space="preserve"> per unit towards provision of or improvements to a park and/or enhancement of amenities in the area in line with the City’s Park Strategy shall be required. </w:t>
      </w:r>
    </w:p>
    <w:p w:rsidR="00AC0474" w:rsidRPr="00C626AE" w:rsidRDefault="00AC0474" w:rsidP="00AC0474">
      <w:pPr>
        <w:pStyle w:val="ListBullet"/>
        <w:numPr>
          <w:ilvl w:val="0"/>
          <w:numId w:val="0"/>
        </w:numPr>
        <w:ind w:left="360"/>
        <w:rPr>
          <w:rFonts w:ascii="Arial" w:hAnsi="Arial" w:cs="Arial"/>
          <w:color w:val="000000"/>
          <w:sz w:val="22"/>
          <w:szCs w:val="22"/>
        </w:rPr>
      </w:pPr>
    </w:p>
    <w:p w:rsidR="00AC0474" w:rsidRDefault="00AC0474" w:rsidP="00AC0474">
      <w:pPr>
        <w:pStyle w:val="ListBullet"/>
        <w:numPr>
          <w:ilvl w:val="0"/>
          <w:numId w:val="0"/>
        </w:numPr>
        <w:ind w:left="360"/>
        <w:rPr>
          <w:rFonts w:ascii="Arial" w:hAnsi="Arial" w:cs="Arial"/>
          <w:color w:val="000000"/>
          <w:sz w:val="22"/>
          <w:szCs w:val="22"/>
        </w:rPr>
      </w:pPr>
    </w:p>
    <w:p w:rsidR="00AC0474" w:rsidRPr="008039ED" w:rsidRDefault="00AC0474" w:rsidP="00AC0474">
      <w:pPr>
        <w:jc w:val="center"/>
        <w:rPr>
          <w:rFonts w:ascii="Arial" w:hAnsi="Arial" w:cs="Arial"/>
          <w:b/>
          <w:u w:val="single"/>
        </w:rPr>
      </w:pPr>
      <w:r w:rsidRPr="008039ED">
        <w:rPr>
          <w:rFonts w:ascii="Arial" w:hAnsi="Arial" w:cs="Arial"/>
          <w:b/>
          <w:u w:val="single"/>
        </w:rPr>
        <w:t>CIRCUMSTANCES WHERE NO CONTRIBUTION OR A REDUCED CONTRIBUTION APPLY:</w:t>
      </w:r>
    </w:p>
    <w:p w:rsidR="00AC0474" w:rsidRPr="00032AA2" w:rsidRDefault="00AC0474" w:rsidP="00AC0474">
      <w:pPr>
        <w:tabs>
          <w:tab w:val="left" w:pos="720"/>
          <w:tab w:val="left" w:pos="1440"/>
          <w:tab w:val="left" w:pos="2070"/>
        </w:tabs>
        <w:jc w:val="both"/>
        <w:rPr>
          <w:rFonts w:ascii="Arial" w:hAnsi="Arial" w:cs="Arial"/>
          <w:b/>
          <w:color w:val="000000"/>
        </w:rPr>
      </w:pPr>
    </w:p>
    <w:p w:rsidR="00AC0474" w:rsidRPr="00032AA2" w:rsidRDefault="00AC0474" w:rsidP="00AC0474">
      <w:pPr>
        <w:pStyle w:val="ListBullet"/>
        <w:tabs>
          <w:tab w:val="clear" w:pos="360"/>
          <w:tab w:val="num" w:pos="720"/>
        </w:tabs>
        <w:ind w:left="720" w:hanging="720"/>
        <w:rPr>
          <w:rFonts w:ascii="Arial" w:hAnsi="Arial" w:cs="Arial"/>
          <w:b/>
          <w:color w:val="000000"/>
          <w:sz w:val="22"/>
          <w:szCs w:val="22"/>
        </w:rPr>
      </w:pPr>
      <w:r w:rsidRPr="00032AA2">
        <w:rPr>
          <w:rFonts w:ascii="Arial" w:hAnsi="Arial" w:cs="Arial"/>
          <w:b/>
          <w:color w:val="000000"/>
          <w:sz w:val="22"/>
          <w:szCs w:val="22"/>
        </w:rPr>
        <w:t>The following development will not be required to pay development contributions under the Scheme:</w:t>
      </w:r>
    </w:p>
    <w:p w:rsidR="00AC0474" w:rsidRPr="00032AA2" w:rsidRDefault="00AC0474" w:rsidP="00AC0474">
      <w:pPr>
        <w:pStyle w:val="ListBullet"/>
        <w:numPr>
          <w:ilvl w:val="0"/>
          <w:numId w:val="0"/>
        </w:numPr>
        <w:rPr>
          <w:rFonts w:ascii="Arial" w:hAnsi="Arial" w:cs="Arial"/>
          <w:color w:val="000000"/>
          <w:sz w:val="22"/>
          <w:szCs w:val="22"/>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Change of use from one commercial use to another. Any net additional floor space will be charged at the commercial rate;</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The first 40sq metres of extensions to a residential development (subsequent extensions or extensions over and above 40 square metres will be charged at the residential rate per square metre);</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Development in receipt of a disabled persons’ grant;</w:t>
      </w:r>
    </w:p>
    <w:p w:rsidR="00AC0474" w:rsidRPr="00032AA2" w:rsidRDefault="00AC0474" w:rsidP="00AC0474">
      <w:pPr>
        <w:autoSpaceDE w:val="0"/>
        <w:autoSpaceDN w:val="0"/>
        <w:adjustRightInd w:val="0"/>
        <w:rPr>
          <w:rFonts w:ascii="Arial" w:hAnsi="Arial" w:cs="Arial"/>
          <w:color w:val="000000"/>
        </w:rPr>
      </w:pPr>
    </w:p>
    <w:p w:rsidR="00AC0474" w:rsidRPr="00845495" w:rsidRDefault="00AC0474" w:rsidP="00AC0474">
      <w:pPr>
        <w:numPr>
          <w:ilvl w:val="0"/>
          <w:numId w:val="1"/>
        </w:numPr>
        <w:autoSpaceDE w:val="0"/>
        <w:autoSpaceDN w:val="0"/>
        <w:spacing w:after="0" w:line="240" w:lineRule="auto"/>
        <w:rPr>
          <w:rFonts w:ascii="Arial" w:eastAsia="Calibri" w:hAnsi="Arial" w:cs="Arial"/>
          <w:color w:val="666666"/>
          <w:sz w:val="21"/>
          <w:szCs w:val="21"/>
          <w:shd w:val="clear" w:color="auto" w:fill="FFFFFF"/>
        </w:rPr>
      </w:pPr>
      <w:r w:rsidRPr="00845495">
        <w:rPr>
          <w:rFonts w:ascii="Arial" w:eastAsia="Calibri" w:hAnsi="Arial" w:cs="Arial"/>
          <w:color w:val="000000"/>
        </w:rPr>
        <w:lastRenderedPageBreak/>
        <w:t xml:space="preserve">Social </w:t>
      </w:r>
      <w:r w:rsidRPr="00845495">
        <w:rPr>
          <w:rFonts w:ascii="Arial" w:eastAsia="Calibri" w:hAnsi="Arial" w:cs="Arial"/>
        </w:rPr>
        <w:t xml:space="preserve">&amp; Affordable </w:t>
      </w:r>
      <w:r w:rsidRPr="005A2377">
        <w:rPr>
          <w:rFonts w:ascii="Arial" w:eastAsia="Calibri" w:hAnsi="Arial" w:cs="Arial"/>
          <w:b/>
        </w:rPr>
        <w:t>(</w:t>
      </w:r>
      <w:r w:rsidRPr="005A2377">
        <w:rPr>
          <w:rFonts w:ascii="Arial" w:eastAsia="Calibri" w:hAnsi="Arial" w:cs="Arial"/>
        </w:rPr>
        <w:t>Purchase &amp; Cost Rental</w:t>
      </w:r>
      <w:r w:rsidRPr="005A2377">
        <w:rPr>
          <w:rFonts w:ascii="Arial" w:eastAsia="Calibri" w:hAnsi="Arial" w:cs="Arial"/>
          <w:b/>
        </w:rPr>
        <w:t>)</w:t>
      </w:r>
      <w:r w:rsidRPr="00845495">
        <w:rPr>
          <w:rFonts w:ascii="Arial" w:eastAsia="Calibri" w:hAnsi="Arial" w:cs="Arial"/>
        </w:rPr>
        <w:t xml:space="preserve"> housing units provided, </w:t>
      </w:r>
    </w:p>
    <w:p w:rsidR="00AC0474" w:rsidRPr="00845495" w:rsidRDefault="00AC0474" w:rsidP="00AC0474">
      <w:pPr>
        <w:autoSpaceDE w:val="0"/>
        <w:autoSpaceDN w:val="0"/>
        <w:rPr>
          <w:rFonts w:ascii="Arial" w:eastAsia="Calibri" w:hAnsi="Arial" w:cs="Arial"/>
        </w:rPr>
      </w:pPr>
    </w:p>
    <w:p w:rsidR="00AC0474" w:rsidRPr="00845495" w:rsidRDefault="00AC0474" w:rsidP="00AC0474">
      <w:pPr>
        <w:numPr>
          <w:ilvl w:val="1"/>
          <w:numId w:val="1"/>
        </w:numPr>
        <w:autoSpaceDE w:val="0"/>
        <w:autoSpaceDN w:val="0"/>
        <w:spacing w:after="0" w:line="240" w:lineRule="auto"/>
        <w:rPr>
          <w:rFonts w:ascii="Arial" w:eastAsia="Calibri" w:hAnsi="Arial" w:cs="Arial"/>
        </w:rPr>
      </w:pPr>
      <w:r w:rsidRPr="00845495">
        <w:rPr>
          <w:rFonts w:ascii="Arial" w:eastAsia="Calibri" w:hAnsi="Arial" w:cs="Arial"/>
        </w:rPr>
        <w:t xml:space="preserve">in accordance with an agreement made under Part V of the Planning and Development Act (as amended) </w:t>
      </w:r>
    </w:p>
    <w:p w:rsidR="00AC0474" w:rsidRPr="00845495" w:rsidRDefault="00AC0474" w:rsidP="00AC0474">
      <w:pPr>
        <w:autoSpaceDE w:val="0"/>
        <w:autoSpaceDN w:val="0"/>
        <w:ind w:left="720"/>
        <w:rPr>
          <w:rFonts w:ascii="Arial" w:eastAsia="Calibri" w:hAnsi="Arial" w:cs="Arial"/>
        </w:rPr>
      </w:pPr>
    </w:p>
    <w:p w:rsidR="00AC0474" w:rsidRPr="00845495" w:rsidRDefault="00AC0474" w:rsidP="00AC0474">
      <w:pPr>
        <w:numPr>
          <w:ilvl w:val="1"/>
          <w:numId w:val="1"/>
        </w:numPr>
        <w:autoSpaceDE w:val="0"/>
        <w:autoSpaceDN w:val="0"/>
        <w:spacing w:after="0" w:line="240" w:lineRule="auto"/>
        <w:rPr>
          <w:rFonts w:ascii="Arial" w:eastAsia="Calibri" w:hAnsi="Arial" w:cs="Arial"/>
        </w:rPr>
      </w:pPr>
      <w:r w:rsidRPr="00845495">
        <w:rPr>
          <w:rFonts w:ascii="Arial" w:eastAsia="Calibri" w:hAnsi="Arial" w:cs="Arial"/>
        </w:rPr>
        <w:t xml:space="preserve">by a voluntary or co-operative housing body, which is recognised as such by the Council </w:t>
      </w:r>
    </w:p>
    <w:p w:rsidR="00AC0474" w:rsidRPr="00845495" w:rsidRDefault="00AC0474" w:rsidP="00AC0474">
      <w:pPr>
        <w:autoSpaceDE w:val="0"/>
        <w:autoSpaceDN w:val="0"/>
        <w:ind w:left="720"/>
        <w:rPr>
          <w:rFonts w:ascii="Arial" w:eastAsia="Calibri" w:hAnsi="Arial" w:cs="Arial"/>
        </w:rPr>
      </w:pPr>
    </w:p>
    <w:p w:rsidR="00AC0474" w:rsidRPr="005A2377" w:rsidRDefault="00AC0474" w:rsidP="00AC0474">
      <w:pPr>
        <w:numPr>
          <w:ilvl w:val="1"/>
          <w:numId w:val="1"/>
        </w:numPr>
        <w:autoSpaceDE w:val="0"/>
        <w:autoSpaceDN w:val="0"/>
        <w:spacing w:after="0" w:line="240" w:lineRule="auto"/>
        <w:rPr>
          <w:rFonts w:ascii="Arial" w:eastAsia="Calibri" w:hAnsi="Arial" w:cs="Arial"/>
        </w:rPr>
      </w:pPr>
      <w:r w:rsidRPr="00845495">
        <w:rPr>
          <w:rFonts w:ascii="Arial" w:eastAsia="Calibri" w:hAnsi="Arial" w:cs="Arial"/>
        </w:rPr>
        <w:t xml:space="preserve">under the Council’s Scheme of Priority for Affordable Dwelling Purchase Arrangements under </w:t>
      </w:r>
      <w:r w:rsidRPr="005A2377">
        <w:rPr>
          <w:rFonts w:ascii="Arial" w:eastAsia="Calibri" w:hAnsi="Arial" w:cs="Arial"/>
        </w:rPr>
        <w:t>Section 11 of the Affordable Housing Act 2021</w:t>
      </w:r>
    </w:p>
    <w:p w:rsidR="00AC0474" w:rsidRPr="005A2377" w:rsidRDefault="00AC0474" w:rsidP="00AC0474">
      <w:pPr>
        <w:ind w:left="720"/>
        <w:rPr>
          <w:rFonts w:ascii="Arial" w:eastAsia="Calibri" w:hAnsi="Arial" w:cs="Arial"/>
          <w:lang w:val="en-US"/>
        </w:rPr>
      </w:pPr>
    </w:p>
    <w:p w:rsidR="00AC0474" w:rsidRPr="005A2377" w:rsidRDefault="00AC0474" w:rsidP="00AC0474">
      <w:pPr>
        <w:numPr>
          <w:ilvl w:val="1"/>
          <w:numId w:val="1"/>
        </w:numPr>
        <w:autoSpaceDE w:val="0"/>
        <w:autoSpaceDN w:val="0"/>
        <w:spacing w:after="0" w:line="240" w:lineRule="auto"/>
        <w:rPr>
          <w:rFonts w:ascii="Arial" w:eastAsia="Calibri" w:hAnsi="Arial" w:cs="Arial"/>
        </w:rPr>
      </w:pPr>
      <w:r w:rsidRPr="005A2377">
        <w:rPr>
          <w:rFonts w:ascii="Arial" w:eastAsia="Calibri" w:hAnsi="Arial" w:cs="Arial"/>
        </w:rPr>
        <w:t xml:space="preserve">under Cost Rental Housing as determined under the Affordable Housing Act 2021 (Cost Rental Designation) Regulations 2021  </w:t>
      </w:r>
    </w:p>
    <w:p w:rsidR="00AC0474" w:rsidRPr="005A2377" w:rsidRDefault="00AC0474" w:rsidP="00AC0474">
      <w:pPr>
        <w:ind w:left="720"/>
        <w:rPr>
          <w:rFonts w:ascii="Arial" w:eastAsia="Calibri" w:hAnsi="Arial" w:cs="Arial"/>
          <w:b/>
          <w:bCs/>
          <w:lang w:val="en-US"/>
        </w:rPr>
      </w:pPr>
    </w:p>
    <w:p w:rsidR="00AC0474" w:rsidRPr="00032AA2" w:rsidRDefault="00AC0474" w:rsidP="00AC0474">
      <w:pPr>
        <w:autoSpaceDE w:val="0"/>
        <w:autoSpaceDN w:val="0"/>
        <w:rPr>
          <w:rFonts w:ascii="Arial" w:hAnsi="Arial" w:cs="Arial"/>
          <w:color w:val="000000"/>
        </w:rPr>
      </w:pPr>
      <w:r w:rsidRPr="005A2377">
        <w:rPr>
          <w:rFonts w:ascii="Arial" w:eastAsia="Calibri" w:hAnsi="Arial" w:cs="Arial"/>
          <w:color w:val="000000"/>
        </w:rPr>
        <w:t>Note:  The above exemption does not apply to housing provided under a leasing arrangement</w:t>
      </w:r>
      <w:r w:rsidRPr="00E37441">
        <w:rPr>
          <w:rFonts w:ascii="Arial" w:eastAsia="Calibri" w:hAnsi="Arial" w:cs="Arial"/>
          <w:color w:val="000000"/>
          <w:u w:val="single"/>
        </w:rPr>
        <w:t>.</w:t>
      </w: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Non-fee paying primary schools and secondary schools;</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Not-for-profit, community-run childcare facilities;</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Development</w:t>
      </w:r>
      <w:r w:rsidRPr="00032AA2">
        <w:rPr>
          <w:rFonts w:ascii="Arial" w:hAnsi="Arial" w:cs="Arial"/>
          <w:color w:val="000000"/>
          <w:lang w:eastAsia="en-GB"/>
        </w:rPr>
        <w:t xml:space="preserve"> to be used for social, recreational or religious purposes and not to be used for profit or gain;</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lang w:eastAsia="en-GB"/>
        </w:rPr>
        <w:t>Development to be used as a workshop, training facility, hostel or other accommodation specifically for persons with disabilities and not to be used for profit or gain;</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lang w:eastAsia="en-GB"/>
        </w:rPr>
        <w:t xml:space="preserve">The </w:t>
      </w:r>
      <w:r w:rsidRPr="00032AA2">
        <w:rPr>
          <w:rFonts w:ascii="Arial" w:hAnsi="Arial" w:cs="Arial"/>
          <w:color w:val="000000"/>
        </w:rPr>
        <w:t>non-built elements of recreational facilities (e.g. Playing pitches, golf courses);</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pStyle w:val="Default"/>
        <w:numPr>
          <w:ilvl w:val="0"/>
          <w:numId w:val="1"/>
        </w:numPr>
        <w:rPr>
          <w:sz w:val="22"/>
          <w:szCs w:val="22"/>
        </w:rPr>
      </w:pPr>
      <w:r w:rsidRPr="00032AA2">
        <w:rPr>
          <w:sz w:val="22"/>
          <w:szCs w:val="22"/>
        </w:rPr>
        <w:t>Works to, and change of use from commercial to residential use to, of buildings included in the Record of Protected Structures. Protected Structure refers to the actual</w:t>
      </w:r>
      <w:r>
        <w:rPr>
          <w:sz w:val="22"/>
          <w:szCs w:val="22"/>
        </w:rPr>
        <w:t xml:space="preserve"> existing</w:t>
      </w:r>
      <w:r w:rsidRPr="00032AA2">
        <w:rPr>
          <w:sz w:val="22"/>
          <w:szCs w:val="22"/>
        </w:rPr>
        <w:t xml:space="preserve"> structure(s) and does not include development within its curtilage;</w:t>
      </w:r>
    </w:p>
    <w:p w:rsidR="00AC0474" w:rsidRPr="00032AA2" w:rsidRDefault="00AC0474" w:rsidP="00AC0474">
      <w:pPr>
        <w:pStyle w:val="Default"/>
        <w:rPr>
          <w:sz w:val="22"/>
          <w:szCs w:val="22"/>
        </w:rPr>
      </w:pPr>
    </w:p>
    <w:p w:rsidR="00AC0474" w:rsidRPr="00032AA2" w:rsidRDefault="00AC0474" w:rsidP="00AC0474">
      <w:pPr>
        <w:numPr>
          <w:ilvl w:val="0"/>
          <w:numId w:val="1"/>
        </w:numPr>
        <w:spacing w:after="0" w:line="240" w:lineRule="auto"/>
        <w:rPr>
          <w:rFonts w:ascii="Arial" w:hAnsi="Arial" w:cs="Arial"/>
          <w:color w:val="000000"/>
          <w:lang w:eastAsia="en-IE"/>
        </w:rPr>
      </w:pPr>
      <w:r w:rsidRPr="00032AA2">
        <w:rPr>
          <w:rFonts w:ascii="Arial" w:hAnsi="Arial" w:cs="Arial"/>
          <w:color w:val="000000"/>
        </w:rPr>
        <w:t xml:space="preserve">Masts </w:t>
      </w:r>
      <w:r w:rsidRPr="00032AA2">
        <w:rPr>
          <w:rFonts w:ascii="Arial" w:hAnsi="Arial" w:cs="Arial"/>
          <w:color w:val="000000"/>
          <w:lang w:eastAsia="en-IE"/>
        </w:rPr>
        <w:t>and antennae, dish and other apparatus/equipment for communication purposes that form part of the National Broadband Scheme (NBS) as defined by the Department of Communication, Energy and Natural Resources (DCENR);</w:t>
      </w:r>
    </w:p>
    <w:p w:rsidR="00AC0474" w:rsidRPr="00032AA2" w:rsidRDefault="00AC0474" w:rsidP="00AC0474">
      <w:pPr>
        <w:rPr>
          <w:rFonts w:ascii="Arial" w:hAnsi="Arial" w:cs="Arial"/>
          <w:color w:val="000000"/>
          <w:lang w:eastAsia="en-IE"/>
        </w:rPr>
      </w:pPr>
      <w:r w:rsidRPr="00032AA2">
        <w:rPr>
          <w:rFonts w:ascii="Arial" w:hAnsi="Arial" w:cs="Arial"/>
          <w:color w:val="000000"/>
          <w:lang w:eastAsia="en-IE"/>
        </w:rPr>
        <w:t xml:space="preserve"> </w:t>
      </w:r>
    </w:p>
    <w:p w:rsidR="00AC0474" w:rsidRDefault="00AC0474" w:rsidP="00AC0474">
      <w:pPr>
        <w:numPr>
          <w:ilvl w:val="0"/>
          <w:numId w:val="1"/>
        </w:numPr>
        <w:autoSpaceDE w:val="0"/>
        <w:autoSpaceDN w:val="0"/>
        <w:adjustRightInd w:val="0"/>
        <w:spacing w:after="0" w:line="240" w:lineRule="auto"/>
        <w:ind w:right="-57"/>
        <w:rPr>
          <w:rFonts w:ascii="Arial" w:hAnsi="Arial" w:cs="Arial"/>
          <w:color w:val="000000"/>
          <w:lang w:val="en-US" w:eastAsia="en-IE"/>
        </w:rPr>
      </w:pPr>
      <w:r w:rsidRPr="00032AA2">
        <w:rPr>
          <w:rFonts w:ascii="Arial" w:hAnsi="Arial" w:cs="Arial"/>
          <w:color w:val="000000"/>
          <w:lang w:val="en-US" w:eastAsia="en-IE"/>
        </w:rPr>
        <w:t>Renewable Energy (RE) development with a capacity up to 0.5MW will be exempt. Larger capacity RE development will be charged at €1,000 per each 0.1MW above an installed capacity of 0.5MW.</w:t>
      </w:r>
    </w:p>
    <w:p w:rsidR="00AC0474" w:rsidRDefault="00AC0474" w:rsidP="00AC0474">
      <w:pPr>
        <w:pStyle w:val="ListParagraph"/>
        <w:rPr>
          <w:rFonts w:ascii="Arial" w:hAnsi="Arial" w:cs="Arial"/>
          <w:color w:val="000000"/>
          <w:lang w:eastAsia="en-IE"/>
        </w:rPr>
      </w:pPr>
    </w:p>
    <w:p w:rsidR="00AC0474" w:rsidRDefault="00AC0474" w:rsidP="00AC0474">
      <w:pPr>
        <w:pStyle w:val="ListParagraph"/>
        <w:rPr>
          <w:rFonts w:ascii="Arial" w:hAnsi="Arial" w:cs="Arial"/>
          <w:color w:val="000000"/>
          <w:lang w:eastAsia="en-IE"/>
        </w:rPr>
      </w:pPr>
    </w:p>
    <w:p w:rsidR="00AC0474" w:rsidRDefault="00AC0474" w:rsidP="00AC0474">
      <w:pPr>
        <w:pStyle w:val="ListParagraph"/>
        <w:rPr>
          <w:rFonts w:ascii="Arial" w:hAnsi="Arial" w:cs="Arial"/>
          <w:color w:val="000000"/>
          <w:lang w:eastAsia="en-IE"/>
        </w:rPr>
      </w:pPr>
    </w:p>
    <w:p w:rsidR="00AC0474" w:rsidRDefault="00AC0474" w:rsidP="00AC0474">
      <w:pPr>
        <w:pStyle w:val="ListParagraph"/>
        <w:rPr>
          <w:rFonts w:ascii="Arial" w:hAnsi="Arial" w:cs="Arial"/>
          <w:color w:val="000000"/>
          <w:lang w:eastAsia="en-IE"/>
        </w:rPr>
      </w:pPr>
    </w:p>
    <w:p w:rsidR="00AC0474" w:rsidRDefault="00AC0474" w:rsidP="00AC0474">
      <w:pPr>
        <w:pStyle w:val="ListParagraph"/>
        <w:rPr>
          <w:rFonts w:ascii="Arial" w:hAnsi="Arial" w:cs="Arial"/>
          <w:color w:val="000000"/>
          <w:lang w:eastAsia="en-IE"/>
        </w:rPr>
      </w:pPr>
    </w:p>
    <w:p w:rsidR="00AC0474" w:rsidRPr="00D70E3C" w:rsidRDefault="00AC0474" w:rsidP="00AC0474">
      <w:pPr>
        <w:pStyle w:val="ListBullet"/>
        <w:tabs>
          <w:tab w:val="clear" w:pos="360"/>
          <w:tab w:val="num" w:pos="720"/>
        </w:tabs>
        <w:ind w:left="720" w:hanging="720"/>
        <w:rPr>
          <w:rFonts w:ascii="Arial" w:hAnsi="Arial" w:cs="Arial"/>
          <w:b/>
          <w:color w:val="000000"/>
          <w:sz w:val="22"/>
          <w:szCs w:val="22"/>
        </w:rPr>
      </w:pPr>
      <w:r w:rsidRPr="00D70E3C">
        <w:rPr>
          <w:rFonts w:ascii="Arial" w:hAnsi="Arial" w:cs="Arial"/>
          <w:b/>
          <w:color w:val="000000"/>
          <w:sz w:val="22"/>
          <w:szCs w:val="22"/>
        </w:rPr>
        <w:lastRenderedPageBreak/>
        <w:t>The following development will be liable for a reduced rate of development contributions under the Scheme:</w:t>
      </w:r>
    </w:p>
    <w:p w:rsidR="00AC0474" w:rsidRPr="00D70E3C" w:rsidRDefault="00AC0474" w:rsidP="00AC0474">
      <w:pPr>
        <w:pStyle w:val="ListParagraph"/>
        <w:ind w:left="0"/>
        <w:rPr>
          <w:rFonts w:ascii="Arial" w:hAnsi="Arial" w:cs="Arial"/>
          <w:b/>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Where an applicant is granted permission to demolish in part or in full an existing building and replace with another, then the development contribution payable is to be charged on the net additional floor space created;</w:t>
      </w:r>
    </w:p>
    <w:p w:rsidR="00AC0474" w:rsidRPr="00032AA2" w:rsidRDefault="00AC0474" w:rsidP="00AC0474">
      <w:pPr>
        <w:autoSpaceDE w:val="0"/>
        <w:autoSpaceDN w:val="0"/>
        <w:adjustRightInd w:val="0"/>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 xml:space="preserve">In the case of a </w:t>
      </w:r>
      <w:r>
        <w:rPr>
          <w:rFonts w:ascii="Arial" w:hAnsi="Arial" w:cs="Arial"/>
          <w:color w:val="000000"/>
        </w:rPr>
        <w:t xml:space="preserve">change of use from residential </w:t>
      </w:r>
      <w:r w:rsidRPr="00032AA2">
        <w:rPr>
          <w:rFonts w:ascii="Arial" w:hAnsi="Arial" w:cs="Arial"/>
          <w:color w:val="000000"/>
        </w:rPr>
        <w:t>use to commercial and vice versa, development contributions will be calculated at 50% of the applicable rate. Where development contributions under a Section 48 Scheme were paid in respect of the former use, the contribution payable on the new proposal will be net of the quantum of development previously paid for. The Development Contribution Scheme does not provide for any rebate or refund in this regard. Agents/applicants should provide evidence of prior payment at application stage in order to expedite assessment and avail of this provision;</w:t>
      </w:r>
    </w:p>
    <w:p w:rsidR="00AC0474" w:rsidRPr="00032AA2" w:rsidRDefault="00AC0474" w:rsidP="00AC0474">
      <w:pPr>
        <w:pStyle w:val="ListParagraph"/>
        <w:rPr>
          <w:rFonts w:ascii="Arial" w:hAnsi="Arial" w:cs="Arial"/>
          <w:color w:val="000000"/>
        </w:rPr>
      </w:pPr>
    </w:p>
    <w:p w:rsidR="00AC0474" w:rsidRPr="00195F5C"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 xml:space="preserve">In </w:t>
      </w:r>
      <w:r w:rsidRPr="00032AA2">
        <w:rPr>
          <w:rFonts w:ascii="Arial" w:hAnsi="Arial" w:cs="Arial"/>
        </w:rPr>
        <w:t xml:space="preserve">the case of works to or change of use from residential to commercial use, of buildings included in the Record of Protected Structures development contributions will be calculated at 25% of the applicable rate. Protected Structure refers to the actual </w:t>
      </w:r>
      <w:r>
        <w:rPr>
          <w:rFonts w:ascii="Arial" w:hAnsi="Arial" w:cs="Arial"/>
        </w:rPr>
        <w:t xml:space="preserve">existing </w:t>
      </w:r>
      <w:r w:rsidRPr="00032AA2">
        <w:rPr>
          <w:rFonts w:ascii="Arial" w:hAnsi="Arial" w:cs="Arial"/>
        </w:rPr>
        <w:t xml:space="preserve">structure(s) and does not include development within its curtilage. </w:t>
      </w:r>
      <w:r w:rsidRPr="00195F5C">
        <w:rPr>
          <w:rFonts w:ascii="Arial" w:hAnsi="Arial" w:cs="Arial"/>
          <w:color w:val="000000"/>
        </w:rPr>
        <w:t>Where</w:t>
      </w:r>
      <w:r w:rsidRPr="00195F5C">
        <w:rPr>
          <w:rFonts w:ascii="Arial" w:eastAsia="Calibri" w:hAnsi="Arial" w:cs="Arial"/>
          <w:color w:val="000000"/>
        </w:rPr>
        <w:t xml:space="preserve"> development contributions under a Section 48 Scheme were paid in respect of the former use, the contribution payable on the new proposal will be net of the quantum of development previously paid for. The Development Contribution Scheme does not provide for any rebate or refund in this regard. Agents/applicants should provide evidence of prior payment at application stage in order to expedite assessment and avail of this provision;</w:t>
      </w:r>
    </w:p>
    <w:p w:rsidR="00AC0474" w:rsidRPr="00032AA2" w:rsidRDefault="00AC0474" w:rsidP="00AC0474">
      <w:pPr>
        <w:pStyle w:val="ListParagraph"/>
        <w:rPr>
          <w:rFonts w:ascii="Arial" w:hAnsi="Arial" w:cs="Arial"/>
          <w:color w:val="000000"/>
        </w:rPr>
      </w:pPr>
    </w:p>
    <w:p w:rsidR="00AC0474" w:rsidRPr="00032AA2"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 xml:space="preserve">Permissions </w:t>
      </w:r>
      <w:r w:rsidRPr="00032AA2">
        <w:rPr>
          <w:rFonts w:ascii="Arial" w:hAnsi="Arial" w:cs="Arial"/>
        </w:rPr>
        <w:t>for minor extensions to Protected Structures shall be calculated at 50% of the applicable rate of contribution. For the purposes of this Scheme, minor extension is defined as a new extension, which is no greater than 50% of the extent of the total floor space of the Protected Structure. Protected Structure refers to the actual structure(s) and does not include development within its curtilage;</w:t>
      </w:r>
    </w:p>
    <w:p w:rsidR="00AC0474" w:rsidRPr="00032AA2" w:rsidRDefault="00AC0474" w:rsidP="00AC0474">
      <w:pPr>
        <w:pStyle w:val="ListParagraph"/>
        <w:rPr>
          <w:rFonts w:ascii="Arial" w:hAnsi="Arial" w:cs="Arial"/>
          <w:color w:val="000000"/>
        </w:rPr>
      </w:pPr>
    </w:p>
    <w:p w:rsidR="00AC0474" w:rsidRPr="009E1CD1"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Open storage/hard surface commercial space development, other than car parking, shall be liable for development contributions at one third of the commercial rate;</w:t>
      </w:r>
    </w:p>
    <w:p w:rsidR="00AC0474" w:rsidRDefault="00AC0474" w:rsidP="00AC0474">
      <w:pPr>
        <w:pStyle w:val="ListParagraph"/>
        <w:rPr>
          <w:rFonts w:ascii="Arial" w:hAnsi="Arial" w:cs="Arial"/>
          <w:color w:val="000000"/>
        </w:rPr>
      </w:pPr>
    </w:p>
    <w:p w:rsidR="00AC0474" w:rsidRPr="0069647A" w:rsidRDefault="00AC0474" w:rsidP="00AC0474">
      <w:pPr>
        <w:numPr>
          <w:ilvl w:val="0"/>
          <w:numId w:val="1"/>
        </w:numPr>
        <w:spacing w:after="0" w:line="240" w:lineRule="auto"/>
        <w:rPr>
          <w:rFonts w:ascii="Arial" w:hAnsi="Arial" w:cs="Arial"/>
        </w:rPr>
      </w:pPr>
      <w:r w:rsidRPr="0069647A">
        <w:rPr>
          <w:rFonts w:ascii="Arial" w:hAnsi="Arial" w:cs="Arial"/>
        </w:rPr>
        <w:t>Residential ancillary car parking will be calculated at 25% of the applicable rate of contribution;</w:t>
      </w:r>
    </w:p>
    <w:p w:rsidR="00AC0474" w:rsidRPr="00DA65CB" w:rsidRDefault="00AC0474" w:rsidP="00AC0474">
      <w:pPr>
        <w:autoSpaceDE w:val="0"/>
        <w:autoSpaceDN w:val="0"/>
        <w:adjustRightInd w:val="0"/>
        <w:rPr>
          <w:rFonts w:ascii="Arial" w:hAnsi="Arial" w:cs="Arial"/>
          <w:bCs/>
        </w:rPr>
      </w:pPr>
    </w:p>
    <w:p w:rsidR="00AC0474" w:rsidRDefault="00AC0474" w:rsidP="00AC0474">
      <w:pPr>
        <w:numPr>
          <w:ilvl w:val="0"/>
          <w:numId w:val="1"/>
        </w:numPr>
        <w:autoSpaceDE w:val="0"/>
        <w:autoSpaceDN w:val="0"/>
        <w:adjustRightInd w:val="0"/>
        <w:spacing w:after="0" w:line="240" w:lineRule="auto"/>
        <w:rPr>
          <w:rFonts w:ascii="Arial" w:hAnsi="Arial" w:cs="Arial"/>
          <w:color w:val="000000"/>
        </w:rPr>
      </w:pPr>
      <w:r w:rsidRPr="00032AA2">
        <w:rPr>
          <w:rFonts w:ascii="Arial" w:hAnsi="Arial" w:cs="Arial"/>
          <w:color w:val="000000"/>
        </w:rPr>
        <w:t>Temporary permissions shall be liable for development contributions at one-third of the applicable rate of contribution. Further temporary permissions granted for the same development will not be charged provided they are granted within 5 years from the expiry date of the original temporary grant of permission (a maximum of one such additional temporary permission will apply). In cases where a subsequent full planning permission is granted for the same development the contribution payable on the new proposal will be net of the amount already paid.</w:t>
      </w:r>
    </w:p>
    <w:p w:rsidR="00AC0474" w:rsidRDefault="00AC0474" w:rsidP="00AC0474">
      <w:pPr>
        <w:pStyle w:val="ListParagraph"/>
        <w:rPr>
          <w:rFonts w:ascii="Arial" w:hAnsi="Arial" w:cs="Arial"/>
          <w:color w:val="000000"/>
        </w:rPr>
      </w:pPr>
    </w:p>
    <w:p w:rsidR="00AC0474" w:rsidRPr="00981EFC" w:rsidRDefault="00AC0474" w:rsidP="00AC0474">
      <w:pPr>
        <w:numPr>
          <w:ilvl w:val="0"/>
          <w:numId w:val="1"/>
        </w:numPr>
        <w:autoSpaceDE w:val="0"/>
        <w:autoSpaceDN w:val="0"/>
        <w:adjustRightInd w:val="0"/>
        <w:spacing w:after="0" w:line="240" w:lineRule="auto"/>
        <w:rPr>
          <w:rFonts w:ascii="Arial" w:hAnsi="Arial" w:cs="Arial"/>
          <w:color w:val="000000"/>
        </w:rPr>
      </w:pPr>
      <w:r w:rsidRPr="00981EFC">
        <w:rPr>
          <w:rFonts w:ascii="Arial" w:hAnsi="Arial" w:cs="Arial"/>
          <w:color w:val="000000"/>
        </w:rPr>
        <w:t xml:space="preserve">The development contribution for new build residential developments in the Ballymun and Cherry Orchard LAP areas will be calculated at 80% of the applicable rate. </w:t>
      </w:r>
    </w:p>
    <w:p w:rsidR="00AC0474" w:rsidRDefault="00AC0474" w:rsidP="00AC0474">
      <w:pPr>
        <w:pStyle w:val="ListParagraph"/>
        <w:rPr>
          <w:rFonts w:ascii="Arial" w:hAnsi="Arial" w:cs="Arial"/>
          <w:color w:val="000000"/>
        </w:rPr>
      </w:pPr>
    </w:p>
    <w:p w:rsidR="00AC0474" w:rsidRPr="00272D36" w:rsidRDefault="00AC0474" w:rsidP="00AC0474">
      <w:pPr>
        <w:pStyle w:val="ListBullet"/>
        <w:tabs>
          <w:tab w:val="clear" w:pos="360"/>
          <w:tab w:val="num" w:pos="709"/>
        </w:tabs>
        <w:ind w:left="709" w:hanging="709"/>
        <w:jc w:val="both"/>
        <w:rPr>
          <w:rFonts w:ascii="Arial" w:hAnsi="Arial" w:cs="Arial"/>
          <w:color w:val="000000"/>
          <w:sz w:val="22"/>
          <w:szCs w:val="22"/>
        </w:rPr>
      </w:pPr>
      <w:r w:rsidRPr="00272D36">
        <w:rPr>
          <w:rFonts w:ascii="Arial" w:hAnsi="Arial" w:cs="Arial"/>
          <w:color w:val="000000"/>
          <w:sz w:val="22"/>
          <w:szCs w:val="22"/>
        </w:rPr>
        <w:lastRenderedPageBreak/>
        <w:t>No reductions in whole or in part shall apply to permissions for retention of development.</w:t>
      </w:r>
    </w:p>
    <w:p w:rsidR="00AC0474" w:rsidRPr="00272D36" w:rsidRDefault="00AC0474" w:rsidP="00AC0474">
      <w:pPr>
        <w:pStyle w:val="ListBullet"/>
        <w:numPr>
          <w:ilvl w:val="0"/>
          <w:numId w:val="0"/>
        </w:numPr>
        <w:jc w:val="both"/>
        <w:rPr>
          <w:rFonts w:ascii="Arial" w:hAnsi="Arial" w:cs="Arial"/>
          <w:color w:val="000000"/>
          <w:sz w:val="22"/>
          <w:szCs w:val="22"/>
        </w:rPr>
      </w:pPr>
    </w:p>
    <w:p w:rsidR="00AC0474" w:rsidRPr="00272D36" w:rsidRDefault="00AC0474" w:rsidP="00AC0474">
      <w:pPr>
        <w:pStyle w:val="ListBullet"/>
        <w:tabs>
          <w:tab w:val="clear" w:pos="360"/>
        </w:tabs>
        <w:ind w:left="709" w:hanging="709"/>
        <w:rPr>
          <w:rFonts w:ascii="Arial" w:hAnsi="Arial" w:cs="Arial"/>
          <w:sz w:val="22"/>
          <w:szCs w:val="22"/>
        </w:rPr>
      </w:pPr>
      <w:r w:rsidRPr="00272D36">
        <w:rPr>
          <w:rFonts w:ascii="Arial" w:hAnsi="Arial" w:cs="Arial"/>
          <w:sz w:val="22"/>
          <w:szCs w:val="22"/>
        </w:rPr>
        <w:t>For clarification purposes, the following development will be required to pay development contributions;</w:t>
      </w:r>
    </w:p>
    <w:p w:rsidR="00AC0474" w:rsidRPr="00272D36" w:rsidRDefault="00AC0474" w:rsidP="00AC0474">
      <w:pPr>
        <w:pStyle w:val="ListParagraph"/>
        <w:rPr>
          <w:rFonts w:ascii="Arial" w:hAnsi="Arial" w:cs="Arial"/>
          <w:color w:val="000000"/>
        </w:rPr>
      </w:pPr>
    </w:p>
    <w:p w:rsidR="00AC0474" w:rsidRPr="00272D36" w:rsidRDefault="00AC0474" w:rsidP="00AC0474">
      <w:pPr>
        <w:pStyle w:val="ListParagraph"/>
        <w:numPr>
          <w:ilvl w:val="0"/>
          <w:numId w:val="10"/>
        </w:numPr>
        <w:spacing w:after="0" w:line="240" w:lineRule="auto"/>
        <w:contextualSpacing w:val="0"/>
        <w:rPr>
          <w:rFonts w:ascii="Arial" w:hAnsi="Arial" w:cs="Arial"/>
          <w:color w:val="000000"/>
        </w:rPr>
      </w:pPr>
      <w:r w:rsidRPr="00272D36">
        <w:rPr>
          <w:rFonts w:ascii="Arial" w:hAnsi="Arial" w:cs="Arial"/>
          <w:color w:val="000000"/>
        </w:rPr>
        <w:t>Third level educational institutions and student accommodation</w:t>
      </w:r>
    </w:p>
    <w:p w:rsidR="00AC0474" w:rsidRPr="00272D36" w:rsidRDefault="00AC0474" w:rsidP="00AC0474">
      <w:pPr>
        <w:pStyle w:val="ListParagraph"/>
        <w:rPr>
          <w:rFonts w:ascii="Arial" w:hAnsi="Arial" w:cs="Arial"/>
          <w:color w:val="000000"/>
        </w:rPr>
      </w:pPr>
    </w:p>
    <w:p w:rsidR="00AC0474" w:rsidRPr="00272D36" w:rsidRDefault="00AC0474" w:rsidP="00AC0474">
      <w:pPr>
        <w:pStyle w:val="ListParagraph"/>
        <w:numPr>
          <w:ilvl w:val="0"/>
          <w:numId w:val="10"/>
        </w:numPr>
        <w:spacing w:after="0" w:line="240" w:lineRule="auto"/>
        <w:contextualSpacing w:val="0"/>
        <w:rPr>
          <w:rFonts w:ascii="Arial" w:hAnsi="Arial" w:cs="Arial"/>
          <w:color w:val="000000"/>
        </w:rPr>
      </w:pPr>
      <w:r>
        <w:rPr>
          <w:rFonts w:ascii="Arial" w:hAnsi="Arial" w:cs="Arial"/>
          <w:color w:val="000000"/>
        </w:rPr>
        <w:t>F</w:t>
      </w:r>
      <w:r w:rsidRPr="00272D36">
        <w:rPr>
          <w:rFonts w:ascii="Arial" w:hAnsi="Arial" w:cs="Arial"/>
          <w:color w:val="000000"/>
        </w:rPr>
        <w:t>ee paying schools</w:t>
      </w:r>
    </w:p>
    <w:p w:rsidR="00AC0474" w:rsidRPr="00272D36" w:rsidRDefault="00AC0474" w:rsidP="00AC0474">
      <w:pPr>
        <w:pStyle w:val="ListParagraph"/>
        <w:jc w:val="both"/>
        <w:rPr>
          <w:rFonts w:ascii="Arial" w:hAnsi="Arial" w:cs="Arial"/>
          <w:color w:val="000000"/>
        </w:rPr>
      </w:pPr>
    </w:p>
    <w:p w:rsidR="00AC0474" w:rsidRDefault="00AC0474" w:rsidP="00AC0474">
      <w:pPr>
        <w:pStyle w:val="ListParagraph"/>
        <w:numPr>
          <w:ilvl w:val="0"/>
          <w:numId w:val="10"/>
        </w:numPr>
        <w:spacing w:after="0" w:line="240" w:lineRule="auto"/>
        <w:contextualSpacing w:val="0"/>
        <w:rPr>
          <w:rFonts w:ascii="Arial" w:hAnsi="Arial" w:cs="Arial"/>
          <w:color w:val="000000"/>
        </w:rPr>
      </w:pPr>
      <w:r w:rsidRPr="00272D36">
        <w:rPr>
          <w:rFonts w:ascii="Arial" w:hAnsi="Arial" w:cs="Arial"/>
          <w:color w:val="000000"/>
        </w:rPr>
        <w:t>Hospitals, medical facilities, primary care centres and similar developments including any ancillary buildings</w:t>
      </w:r>
    </w:p>
    <w:p w:rsidR="00AC0474" w:rsidRPr="001E7A8F" w:rsidRDefault="00AC0474" w:rsidP="00AC0474">
      <w:pPr>
        <w:rPr>
          <w:rFonts w:ascii="Arial" w:hAnsi="Arial" w:cs="Arial"/>
          <w:b/>
          <w:color w:val="000000"/>
        </w:rPr>
      </w:pPr>
      <w:r>
        <w:rPr>
          <w:rFonts w:ascii="Arial" w:hAnsi="Arial" w:cs="Arial"/>
          <w:color w:val="000000"/>
          <w:u w:val="single"/>
        </w:rPr>
        <w:t xml:space="preserve">                </w:t>
      </w:r>
    </w:p>
    <w:p w:rsidR="00AC0474" w:rsidRPr="00996EDD" w:rsidRDefault="00AC0474" w:rsidP="00AC0474">
      <w:pPr>
        <w:tabs>
          <w:tab w:val="left" w:pos="0"/>
          <w:tab w:val="left" w:pos="720"/>
          <w:tab w:val="left" w:pos="2070"/>
        </w:tabs>
        <w:jc w:val="center"/>
        <w:rPr>
          <w:rFonts w:ascii="Arial" w:hAnsi="Arial" w:cs="Arial"/>
          <w:b/>
          <w:color w:val="000000"/>
        </w:rPr>
      </w:pPr>
      <w:r w:rsidRPr="00996EDD">
        <w:rPr>
          <w:rFonts w:ascii="Arial" w:hAnsi="Arial" w:cs="Arial"/>
          <w:b/>
          <w:color w:val="000000"/>
        </w:rPr>
        <w:t>PAYMENT OF CONTRIBUTION</w:t>
      </w:r>
      <w:r>
        <w:rPr>
          <w:rFonts w:ascii="Arial" w:hAnsi="Arial" w:cs="Arial"/>
          <w:b/>
          <w:color w:val="000000"/>
        </w:rPr>
        <w:t>:</w:t>
      </w:r>
    </w:p>
    <w:p w:rsidR="00AC0474" w:rsidRPr="00996EDD" w:rsidRDefault="00AC0474" w:rsidP="00AC0474">
      <w:pPr>
        <w:pStyle w:val="ListBullet"/>
        <w:tabs>
          <w:tab w:val="clear" w:pos="360"/>
        </w:tabs>
        <w:ind w:left="709" w:hanging="709"/>
        <w:rPr>
          <w:rFonts w:ascii="Arial" w:hAnsi="Arial" w:cs="Arial"/>
          <w:color w:val="000000"/>
          <w:sz w:val="22"/>
          <w:szCs w:val="22"/>
        </w:rPr>
      </w:pPr>
      <w:r w:rsidRPr="00996EDD">
        <w:rPr>
          <w:rFonts w:ascii="Arial" w:hAnsi="Arial" w:cs="Arial"/>
          <w:color w:val="000000"/>
          <w:sz w:val="22"/>
          <w:szCs w:val="22"/>
        </w:rPr>
        <w:t>Conditions requiring payment of the contributions provided for in the Scheme will be imposed in all decisions to grant planning permissions made following the making of the Scheme by the Council.  The operative date of the scheme is from 1</w:t>
      </w:r>
      <w:r w:rsidRPr="00996EDD">
        <w:rPr>
          <w:rFonts w:ascii="Arial" w:hAnsi="Arial" w:cs="Arial"/>
          <w:color w:val="000000"/>
          <w:sz w:val="22"/>
          <w:szCs w:val="22"/>
          <w:vertAlign w:val="superscript"/>
        </w:rPr>
        <w:t>st</w:t>
      </w:r>
      <w:r w:rsidRPr="00996EDD">
        <w:rPr>
          <w:rFonts w:ascii="Arial" w:hAnsi="Arial" w:cs="Arial"/>
          <w:color w:val="000000"/>
          <w:sz w:val="22"/>
          <w:szCs w:val="22"/>
        </w:rPr>
        <w:t xml:space="preserve"> </w:t>
      </w:r>
      <w:r>
        <w:rPr>
          <w:rFonts w:ascii="Arial" w:hAnsi="Arial" w:cs="Arial"/>
          <w:color w:val="000000"/>
          <w:sz w:val="22"/>
          <w:szCs w:val="22"/>
        </w:rPr>
        <w:t>April</w:t>
      </w:r>
      <w:r w:rsidRPr="00996EDD">
        <w:rPr>
          <w:rFonts w:ascii="Arial" w:hAnsi="Arial" w:cs="Arial"/>
          <w:color w:val="000000"/>
          <w:sz w:val="22"/>
          <w:szCs w:val="22"/>
        </w:rPr>
        <w:t xml:space="preserve"> 20</w:t>
      </w:r>
      <w:r>
        <w:rPr>
          <w:rFonts w:ascii="Arial" w:hAnsi="Arial" w:cs="Arial"/>
          <w:color w:val="000000"/>
          <w:sz w:val="22"/>
          <w:szCs w:val="22"/>
        </w:rPr>
        <w:t>23</w:t>
      </w:r>
      <w:r w:rsidRPr="00996EDD">
        <w:rPr>
          <w:rFonts w:ascii="Arial" w:hAnsi="Arial" w:cs="Arial"/>
          <w:color w:val="000000"/>
          <w:sz w:val="22"/>
          <w:szCs w:val="22"/>
        </w:rPr>
        <w:t xml:space="preserve">. </w:t>
      </w:r>
    </w:p>
    <w:p w:rsidR="00AC0474" w:rsidRPr="00996EDD" w:rsidRDefault="00AC0474" w:rsidP="00AC0474">
      <w:pPr>
        <w:tabs>
          <w:tab w:val="left" w:pos="0"/>
          <w:tab w:val="left" w:pos="720"/>
          <w:tab w:val="left" w:pos="2070"/>
        </w:tabs>
        <w:rPr>
          <w:rFonts w:ascii="Arial" w:hAnsi="Arial" w:cs="Arial"/>
          <w:color w:val="000000"/>
        </w:rPr>
      </w:pPr>
    </w:p>
    <w:p w:rsidR="00AC0474" w:rsidRPr="00996EDD" w:rsidRDefault="00AC0474" w:rsidP="00AC0474">
      <w:pPr>
        <w:pStyle w:val="ListBullet"/>
        <w:tabs>
          <w:tab w:val="clear" w:pos="360"/>
          <w:tab w:val="num" w:pos="709"/>
        </w:tabs>
        <w:ind w:left="709" w:hanging="709"/>
        <w:rPr>
          <w:rFonts w:ascii="Arial" w:hAnsi="Arial" w:cs="Arial"/>
          <w:color w:val="000000"/>
          <w:sz w:val="22"/>
          <w:szCs w:val="22"/>
        </w:rPr>
      </w:pPr>
      <w:r w:rsidRPr="00996EDD">
        <w:rPr>
          <w:rFonts w:ascii="Arial" w:hAnsi="Arial" w:cs="Arial"/>
          <w:color w:val="000000"/>
          <w:sz w:val="22"/>
          <w:szCs w:val="22"/>
        </w:rPr>
        <w:t xml:space="preserve">The contributions under the Scheme shall be payable prior to commencement of development or as otherwise agreed by the Council. Contributions shall be payable at the rate pertaining to the year in which implementation of the planning permission is commenced, as provided for in the Note I to the table at Article 9 above. </w:t>
      </w:r>
    </w:p>
    <w:p w:rsidR="00AC0474" w:rsidRPr="00996EDD" w:rsidRDefault="00AC0474" w:rsidP="00AC0474">
      <w:pPr>
        <w:pStyle w:val="BodyTextIndent2"/>
        <w:tabs>
          <w:tab w:val="clear" w:pos="720"/>
        </w:tabs>
        <w:ind w:left="0"/>
        <w:rPr>
          <w:rFonts w:ascii="Arial" w:hAnsi="Arial" w:cs="Arial"/>
          <w:color w:val="000000"/>
          <w:sz w:val="22"/>
          <w:szCs w:val="22"/>
        </w:rPr>
      </w:pPr>
    </w:p>
    <w:p w:rsidR="00AC0474" w:rsidRPr="00996EDD" w:rsidRDefault="00AC0474" w:rsidP="00AC0474">
      <w:pPr>
        <w:pStyle w:val="ListBullet"/>
        <w:tabs>
          <w:tab w:val="clear" w:pos="360"/>
        </w:tabs>
        <w:ind w:left="709" w:hanging="709"/>
        <w:rPr>
          <w:rFonts w:ascii="Arial" w:hAnsi="Arial" w:cs="Arial"/>
          <w:color w:val="000000"/>
          <w:sz w:val="22"/>
          <w:szCs w:val="22"/>
        </w:rPr>
      </w:pPr>
      <w:r w:rsidRPr="00996EDD">
        <w:rPr>
          <w:rFonts w:ascii="Arial" w:hAnsi="Arial" w:cs="Arial"/>
          <w:color w:val="000000"/>
          <w:sz w:val="22"/>
          <w:szCs w:val="22"/>
        </w:rPr>
        <w:t>The Council may facilitate the phased payment of contributions payable under the Scheme, and the Council may require the giving of security to ensure payment of contributions.</w:t>
      </w:r>
    </w:p>
    <w:p w:rsidR="00AC0474" w:rsidRPr="00996EDD" w:rsidRDefault="00AC0474" w:rsidP="00AC0474">
      <w:pPr>
        <w:tabs>
          <w:tab w:val="left" w:pos="0"/>
          <w:tab w:val="left" w:pos="2070"/>
        </w:tabs>
        <w:rPr>
          <w:rFonts w:ascii="Arial" w:hAnsi="Arial" w:cs="Arial"/>
          <w:color w:val="000000"/>
        </w:rPr>
      </w:pPr>
    </w:p>
    <w:p w:rsidR="00AC0474" w:rsidRPr="00996EDD" w:rsidRDefault="00AC0474" w:rsidP="00AC0474">
      <w:pPr>
        <w:pStyle w:val="ListBullet"/>
        <w:tabs>
          <w:tab w:val="clear" w:pos="360"/>
          <w:tab w:val="num" w:pos="709"/>
        </w:tabs>
        <w:ind w:left="709" w:hanging="709"/>
        <w:rPr>
          <w:rFonts w:ascii="Arial" w:hAnsi="Arial" w:cs="Arial"/>
          <w:color w:val="000000"/>
          <w:sz w:val="22"/>
          <w:szCs w:val="22"/>
          <w:lang w:val="en-IE"/>
        </w:rPr>
      </w:pPr>
      <w:r w:rsidRPr="00996EDD">
        <w:rPr>
          <w:rFonts w:ascii="Arial" w:hAnsi="Arial" w:cs="Arial"/>
          <w:color w:val="000000"/>
          <w:sz w:val="22"/>
          <w:szCs w:val="22"/>
          <w:lang w:val="en-IE"/>
        </w:rPr>
        <w:t>The Council, in accordance with statutory powers, may recover as a simple contract debt in a court of competent jurisdiction any contribution (including interest and legal costs) due to it under the terms of this scheme.  Furthermore, the Council may instigate enforcement action under the Planning and Development Act, 2000 as amended in respect of unpaid development contributions and all associated costs and fees.</w:t>
      </w:r>
    </w:p>
    <w:p w:rsidR="00AC0474" w:rsidRPr="00996EDD" w:rsidRDefault="00AC0474" w:rsidP="00AC0474">
      <w:pPr>
        <w:pStyle w:val="ListParagraph"/>
        <w:rPr>
          <w:rFonts w:ascii="Arial" w:hAnsi="Arial" w:cs="Arial"/>
          <w:color w:val="000000"/>
        </w:rPr>
      </w:pPr>
    </w:p>
    <w:p w:rsidR="00AC0474" w:rsidRPr="00996EDD" w:rsidRDefault="00AC0474" w:rsidP="00AC0474">
      <w:pPr>
        <w:pStyle w:val="ListBullet"/>
        <w:tabs>
          <w:tab w:val="clear" w:pos="360"/>
          <w:tab w:val="num" w:pos="709"/>
        </w:tabs>
        <w:ind w:left="709" w:hanging="709"/>
        <w:rPr>
          <w:rFonts w:ascii="Arial" w:hAnsi="Arial" w:cs="Arial"/>
          <w:color w:val="000000"/>
          <w:sz w:val="22"/>
          <w:szCs w:val="22"/>
        </w:rPr>
      </w:pPr>
      <w:r w:rsidRPr="00996EDD">
        <w:rPr>
          <w:rFonts w:ascii="Arial" w:hAnsi="Arial" w:cs="Arial"/>
          <w:color w:val="000000"/>
          <w:sz w:val="22"/>
          <w:szCs w:val="22"/>
        </w:rPr>
        <w:t xml:space="preserve">Where applicable, connections </w:t>
      </w:r>
      <w:r w:rsidRPr="00996EDD">
        <w:rPr>
          <w:rFonts w:ascii="Arial" w:hAnsi="Arial" w:cs="Arial"/>
          <w:color w:val="000000"/>
          <w:sz w:val="22"/>
          <w:szCs w:val="22"/>
          <w:lang w:val="en-IE"/>
        </w:rPr>
        <w:t>to drainage (surface water) services</w:t>
      </w:r>
      <w:r w:rsidRPr="00996EDD">
        <w:rPr>
          <w:rFonts w:ascii="Arial" w:hAnsi="Arial" w:cs="Arial"/>
          <w:color w:val="000000"/>
          <w:sz w:val="22"/>
          <w:szCs w:val="22"/>
        </w:rPr>
        <w:t xml:space="preserve"> will be denied at commencement of development where the development contribution has not been paid in full or paid in part in an agreed installment plan. The development contribution is required for capital expenditure and therefore costs incurred for such matters as connections to such services are not included in the development contribution and are subject to separate connection fees. </w:t>
      </w:r>
    </w:p>
    <w:p w:rsidR="00AC0474" w:rsidRPr="002B6766" w:rsidRDefault="00AC0474" w:rsidP="00AC0474">
      <w:pPr>
        <w:tabs>
          <w:tab w:val="left" w:pos="0"/>
          <w:tab w:val="left" w:pos="2070"/>
        </w:tabs>
        <w:jc w:val="both"/>
        <w:rPr>
          <w:rFonts w:ascii="Arial" w:hAnsi="Arial" w:cs="Arial"/>
          <w:color w:val="000000"/>
          <w:sz w:val="28"/>
          <w:szCs w:val="28"/>
        </w:rPr>
      </w:pPr>
    </w:p>
    <w:p w:rsidR="00AC0474" w:rsidRPr="00996EDD" w:rsidRDefault="00AC0474" w:rsidP="00AC0474">
      <w:pPr>
        <w:tabs>
          <w:tab w:val="left" w:pos="0"/>
          <w:tab w:val="left" w:pos="720"/>
          <w:tab w:val="left" w:pos="2070"/>
        </w:tabs>
        <w:jc w:val="center"/>
        <w:rPr>
          <w:rFonts w:ascii="Arial" w:hAnsi="Arial" w:cs="Arial"/>
          <w:b/>
          <w:color w:val="000000"/>
        </w:rPr>
      </w:pPr>
      <w:r w:rsidRPr="00996EDD">
        <w:rPr>
          <w:rFonts w:ascii="Arial" w:hAnsi="Arial" w:cs="Arial"/>
          <w:b/>
          <w:color w:val="000000"/>
        </w:rPr>
        <w:t>APPEAL TO AN BORD PLEANÁLA ("the Board")</w:t>
      </w:r>
      <w:r>
        <w:rPr>
          <w:rFonts w:ascii="Arial" w:hAnsi="Arial" w:cs="Arial"/>
          <w:b/>
          <w:color w:val="000000"/>
        </w:rPr>
        <w:t>:</w:t>
      </w:r>
    </w:p>
    <w:p w:rsidR="00AC0474" w:rsidRPr="00996EDD" w:rsidRDefault="00AC0474" w:rsidP="00AC0474">
      <w:pPr>
        <w:pStyle w:val="ListBullet"/>
        <w:tabs>
          <w:tab w:val="clear" w:pos="360"/>
        </w:tabs>
        <w:ind w:left="709" w:hanging="709"/>
        <w:rPr>
          <w:rFonts w:ascii="Arial" w:hAnsi="Arial" w:cs="Arial"/>
          <w:sz w:val="22"/>
          <w:szCs w:val="22"/>
        </w:rPr>
      </w:pPr>
      <w:r w:rsidRPr="00996EDD">
        <w:rPr>
          <w:rFonts w:ascii="Arial" w:hAnsi="Arial" w:cs="Arial"/>
          <w:sz w:val="22"/>
          <w:szCs w:val="22"/>
        </w:rPr>
        <w:t>An appeal may be brought to the Board where the applicant for planning permission under Section 34 of the Act considers that the terms of the Scheme have not been properly applied in respect of any conditions laid down by the Council.</w:t>
      </w:r>
    </w:p>
    <w:p w:rsidR="00AC0474" w:rsidRDefault="00AC0474" w:rsidP="00AC0474">
      <w:pPr>
        <w:tabs>
          <w:tab w:val="left" w:pos="0"/>
          <w:tab w:val="left" w:pos="720"/>
          <w:tab w:val="left" w:pos="2070"/>
        </w:tabs>
        <w:jc w:val="center"/>
        <w:rPr>
          <w:rFonts w:ascii="Arial" w:hAnsi="Arial" w:cs="Arial"/>
          <w:b/>
          <w:color w:val="000000"/>
        </w:rPr>
      </w:pPr>
    </w:p>
    <w:p w:rsidR="00AC0474" w:rsidRDefault="00AC0474" w:rsidP="00AC0474">
      <w:pPr>
        <w:tabs>
          <w:tab w:val="left" w:pos="0"/>
          <w:tab w:val="left" w:pos="720"/>
          <w:tab w:val="left" w:pos="2070"/>
        </w:tabs>
        <w:jc w:val="center"/>
        <w:rPr>
          <w:rFonts w:ascii="Arial" w:hAnsi="Arial" w:cs="Arial"/>
          <w:b/>
          <w:color w:val="000000"/>
        </w:rPr>
      </w:pPr>
    </w:p>
    <w:p w:rsidR="00AC0474" w:rsidRDefault="00AC0474" w:rsidP="00AC0474">
      <w:pPr>
        <w:tabs>
          <w:tab w:val="left" w:pos="0"/>
          <w:tab w:val="left" w:pos="720"/>
          <w:tab w:val="left" w:pos="2070"/>
        </w:tabs>
        <w:jc w:val="center"/>
        <w:rPr>
          <w:rFonts w:ascii="Arial" w:hAnsi="Arial" w:cs="Arial"/>
          <w:b/>
          <w:color w:val="000000"/>
        </w:rPr>
      </w:pPr>
    </w:p>
    <w:p w:rsidR="00AC0474" w:rsidRPr="00996EDD" w:rsidRDefault="00AC0474" w:rsidP="00AC0474">
      <w:pPr>
        <w:tabs>
          <w:tab w:val="left" w:pos="0"/>
          <w:tab w:val="left" w:pos="720"/>
          <w:tab w:val="left" w:pos="2070"/>
        </w:tabs>
        <w:jc w:val="center"/>
        <w:rPr>
          <w:rFonts w:ascii="Arial" w:hAnsi="Arial" w:cs="Arial"/>
          <w:b/>
          <w:color w:val="000000"/>
        </w:rPr>
      </w:pPr>
      <w:r w:rsidRPr="00996EDD">
        <w:rPr>
          <w:rFonts w:ascii="Arial" w:hAnsi="Arial" w:cs="Arial"/>
          <w:b/>
          <w:color w:val="000000"/>
        </w:rPr>
        <w:lastRenderedPageBreak/>
        <w:t>REVIEW OF SCHEME</w:t>
      </w:r>
      <w:r>
        <w:rPr>
          <w:rFonts w:ascii="Arial" w:hAnsi="Arial" w:cs="Arial"/>
          <w:b/>
          <w:color w:val="000000"/>
        </w:rPr>
        <w:t>:</w:t>
      </w:r>
    </w:p>
    <w:p w:rsidR="00AC0474" w:rsidRPr="00996EDD" w:rsidRDefault="00AC0474" w:rsidP="00AC0474">
      <w:pPr>
        <w:pStyle w:val="ListBullet"/>
        <w:tabs>
          <w:tab w:val="clear" w:pos="360"/>
        </w:tabs>
        <w:ind w:left="709" w:hanging="709"/>
        <w:rPr>
          <w:rFonts w:ascii="Arial" w:hAnsi="Arial" w:cs="Arial"/>
          <w:color w:val="000000"/>
          <w:sz w:val="22"/>
          <w:szCs w:val="22"/>
        </w:rPr>
      </w:pPr>
      <w:r w:rsidRPr="00996EDD">
        <w:rPr>
          <w:rFonts w:ascii="Arial" w:hAnsi="Arial" w:cs="Arial"/>
          <w:color w:val="000000"/>
          <w:sz w:val="22"/>
          <w:szCs w:val="22"/>
        </w:rPr>
        <w:t>The Scheme is effective from 1</w:t>
      </w:r>
      <w:r w:rsidRPr="00996EDD">
        <w:rPr>
          <w:rFonts w:ascii="Arial" w:hAnsi="Arial" w:cs="Arial"/>
          <w:color w:val="000000"/>
          <w:sz w:val="22"/>
          <w:szCs w:val="22"/>
          <w:vertAlign w:val="superscript"/>
        </w:rPr>
        <w:t>st</w:t>
      </w:r>
      <w:r w:rsidRPr="00996EDD">
        <w:rPr>
          <w:rFonts w:ascii="Arial" w:hAnsi="Arial" w:cs="Arial"/>
          <w:color w:val="000000"/>
          <w:sz w:val="22"/>
          <w:szCs w:val="22"/>
        </w:rPr>
        <w:t xml:space="preserve"> </w:t>
      </w:r>
      <w:r>
        <w:rPr>
          <w:rFonts w:ascii="Arial" w:hAnsi="Arial" w:cs="Arial"/>
          <w:color w:val="000000"/>
          <w:sz w:val="22"/>
          <w:szCs w:val="22"/>
        </w:rPr>
        <w:t>April</w:t>
      </w:r>
      <w:r w:rsidRPr="00996EDD">
        <w:rPr>
          <w:rFonts w:ascii="Arial" w:hAnsi="Arial" w:cs="Arial"/>
          <w:color w:val="000000"/>
          <w:sz w:val="22"/>
          <w:szCs w:val="22"/>
        </w:rPr>
        <w:t xml:space="preserve"> 20</w:t>
      </w:r>
      <w:r>
        <w:rPr>
          <w:rFonts w:ascii="Arial" w:hAnsi="Arial" w:cs="Arial"/>
          <w:color w:val="000000"/>
          <w:sz w:val="22"/>
          <w:szCs w:val="22"/>
        </w:rPr>
        <w:t>23</w:t>
      </w:r>
      <w:r w:rsidRPr="00996EDD">
        <w:rPr>
          <w:rFonts w:ascii="Arial" w:hAnsi="Arial" w:cs="Arial"/>
          <w:color w:val="000000"/>
          <w:sz w:val="22"/>
          <w:szCs w:val="22"/>
        </w:rPr>
        <w:t xml:space="preserve"> until 31</w:t>
      </w:r>
      <w:r w:rsidRPr="00996EDD">
        <w:rPr>
          <w:rFonts w:ascii="Arial" w:hAnsi="Arial" w:cs="Arial"/>
          <w:color w:val="000000"/>
          <w:sz w:val="22"/>
          <w:szCs w:val="22"/>
          <w:vertAlign w:val="superscript"/>
        </w:rPr>
        <w:t>st</w:t>
      </w:r>
      <w:r w:rsidRPr="00996EDD">
        <w:rPr>
          <w:rFonts w:ascii="Arial" w:hAnsi="Arial" w:cs="Arial"/>
          <w:color w:val="000000"/>
          <w:sz w:val="22"/>
          <w:szCs w:val="22"/>
        </w:rPr>
        <w:t xml:space="preserve"> </w:t>
      </w:r>
      <w:r>
        <w:rPr>
          <w:rFonts w:ascii="Arial" w:hAnsi="Arial" w:cs="Arial"/>
          <w:color w:val="000000"/>
          <w:sz w:val="22"/>
          <w:szCs w:val="22"/>
        </w:rPr>
        <w:t>March</w:t>
      </w:r>
      <w:r w:rsidRPr="00996EDD">
        <w:rPr>
          <w:rFonts w:ascii="Arial" w:hAnsi="Arial" w:cs="Arial"/>
          <w:color w:val="000000"/>
          <w:sz w:val="22"/>
          <w:szCs w:val="22"/>
        </w:rPr>
        <w:t xml:space="preserve"> 202</w:t>
      </w:r>
      <w:r>
        <w:rPr>
          <w:rFonts w:ascii="Arial" w:hAnsi="Arial" w:cs="Arial"/>
          <w:color w:val="000000"/>
          <w:sz w:val="22"/>
          <w:szCs w:val="22"/>
        </w:rPr>
        <w:t>6</w:t>
      </w:r>
      <w:r w:rsidRPr="00996EDD">
        <w:rPr>
          <w:rFonts w:ascii="Arial" w:hAnsi="Arial" w:cs="Arial"/>
          <w:color w:val="000000"/>
          <w:sz w:val="22"/>
          <w:szCs w:val="22"/>
        </w:rPr>
        <w:t xml:space="preserve"> </w:t>
      </w:r>
      <w:r w:rsidRPr="00D70E3C">
        <w:rPr>
          <w:rFonts w:ascii="Arial" w:hAnsi="Arial" w:cs="Arial"/>
          <w:color w:val="000000"/>
          <w:sz w:val="22"/>
          <w:szCs w:val="22"/>
          <w:u w:val="single"/>
        </w:rPr>
        <w:t>unless a new scheme is made in the interim or the current scheme is extended</w:t>
      </w:r>
      <w:r>
        <w:rPr>
          <w:rFonts w:ascii="Arial" w:hAnsi="Arial" w:cs="Arial"/>
          <w:color w:val="000000"/>
          <w:sz w:val="22"/>
          <w:szCs w:val="22"/>
        </w:rPr>
        <w:t>.</w:t>
      </w:r>
      <w:r w:rsidRPr="00996EDD">
        <w:rPr>
          <w:rFonts w:ascii="Arial" w:hAnsi="Arial" w:cs="Arial"/>
          <w:color w:val="000000"/>
          <w:sz w:val="22"/>
          <w:szCs w:val="22"/>
        </w:rPr>
        <w:t xml:space="preserve"> The Scheme may be reviewed from time to time by the Council having regard to circumstances prevailing at the time.  After a review of the Scheme, a new Scheme may be made.  </w:t>
      </w:r>
    </w:p>
    <w:p w:rsidR="00AC0474" w:rsidRDefault="00AC0474" w:rsidP="00AC0474">
      <w:pPr>
        <w:tabs>
          <w:tab w:val="left" w:pos="0"/>
          <w:tab w:val="left" w:pos="720"/>
          <w:tab w:val="num" w:pos="1080"/>
          <w:tab w:val="left" w:pos="2070"/>
        </w:tabs>
        <w:ind w:left="1080" w:hanging="1080"/>
        <w:rPr>
          <w:rFonts w:ascii="Arial" w:hAnsi="Arial" w:cs="Arial"/>
          <w:b/>
          <w:color w:val="000000"/>
        </w:rPr>
      </w:pPr>
    </w:p>
    <w:p w:rsidR="00AC0474" w:rsidRPr="00996EDD" w:rsidRDefault="00AC0474" w:rsidP="00AC0474">
      <w:pPr>
        <w:tabs>
          <w:tab w:val="left" w:pos="0"/>
          <w:tab w:val="left" w:pos="720"/>
          <w:tab w:val="num" w:pos="1080"/>
          <w:tab w:val="left" w:pos="2070"/>
        </w:tabs>
        <w:ind w:left="1080" w:hanging="1080"/>
        <w:jc w:val="center"/>
        <w:rPr>
          <w:rFonts w:ascii="Arial" w:hAnsi="Arial" w:cs="Arial"/>
          <w:b/>
          <w:color w:val="000000"/>
        </w:rPr>
      </w:pPr>
      <w:r w:rsidRPr="00996EDD">
        <w:rPr>
          <w:rFonts w:ascii="Arial" w:hAnsi="Arial" w:cs="Arial"/>
          <w:b/>
          <w:color w:val="000000"/>
        </w:rPr>
        <w:t>SPECIAL DEVELOPMENT CONTRIBUTIONS</w:t>
      </w:r>
    </w:p>
    <w:p w:rsidR="00AC0474" w:rsidRPr="00EF537C" w:rsidRDefault="00AC0474" w:rsidP="00AC0474">
      <w:pPr>
        <w:pStyle w:val="ListBullet"/>
        <w:numPr>
          <w:ilvl w:val="0"/>
          <w:numId w:val="0"/>
        </w:numPr>
        <w:ind w:left="360"/>
        <w:rPr>
          <w:rFonts w:ascii="Arial" w:hAnsi="Arial" w:cs="Arial"/>
          <w:color w:val="FF0000"/>
          <w:sz w:val="22"/>
          <w:szCs w:val="22"/>
        </w:rPr>
      </w:pPr>
      <w:r>
        <w:rPr>
          <w:rFonts w:ascii="Arial" w:hAnsi="Arial" w:cs="Arial"/>
          <w:color w:val="000000"/>
          <w:sz w:val="22"/>
          <w:szCs w:val="22"/>
        </w:rPr>
        <w:t>A</w:t>
      </w:r>
      <w:r w:rsidRPr="00EF537C">
        <w:rPr>
          <w:rFonts w:ascii="Arial" w:hAnsi="Arial" w:cs="Arial"/>
          <w:color w:val="000000"/>
          <w:sz w:val="22"/>
          <w:szCs w:val="22"/>
        </w:rPr>
        <w:t xml:space="preserve"> special development contribution may be imposed under Section 48 of the Act where exceptional costs not covered by the Dublin City Council Development Contribution Scheme 20</w:t>
      </w:r>
      <w:r>
        <w:rPr>
          <w:rFonts w:ascii="Arial" w:hAnsi="Arial" w:cs="Arial"/>
          <w:color w:val="000000"/>
          <w:sz w:val="22"/>
          <w:szCs w:val="22"/>
        </w:rPr>
        <w:t>23</w:t>
      </w:r>
      <w:r w:rsidRPr="00EF537C">
        <w:rPr>
          <w:rFonts w:ascii="Arial" w:hAnsi="Arial" w:cs="Arial"/>
          <w:color w:val="000000"/>
          <w:sz w:val="22"/>
          <w:szCs w:val="22"/>
        </w:rPr>
        <w:t xml:space="preserve"> </w:t>
      </w:r>
      <w:r>
        <w:rPr>
          <w:rFonts w:ascii="Arial" w:hAnsi="Arial" w:cs="Arial"/>
          <w:color w:val="000000"/>
          <w:sz w:val="22"/>
          <w:szCs w:val="22"/>
        </w:rPr>
        <w:t>–</w:t>
      </w:r>
      <w:r w:rsidRPr="00EF537C">
        <w:rPr>
          <w:rFonts w:ascii="Arial" w:hAnsi="Arial" w:cs="Arial"/>
          <w:color w:val="000000"/>
          <w:sz w:val="22"/>
          <w:szCs w:val="22"/>
        </w:rPr>
        <w:t xml:space="preserve"> 202</w:t>
      </w:r>
      <w:r>
        <w:rPr>
          <w:rFonts w:ascii="Arial" w:hAnsi="Arial" w:cs="Arial"/>
          <w:color w:val="000000"/>
          <w:sz w:val="22"/>
          <w:szCs w:val="22"/>
        </w:rPr>
        <w:t xml:space="preserve">6 </w:t>
      </w:r>
      <w:r w:rsidRPr="00EF537C">
        <w:rPr>
          <w:rFonts w:ascii="Arial" w:hAnsi="Arial" w:cs="Arial"/>
          <w:color w:val="000000"/>
          <w:sz w:val="22"/>
          <w:szCs w:val="22"/>
        </w:rPr>
        <w:t>are incurred by the Council in the provision of a specific public infrastructure or facility.  (The particular works will be specified in the planning conditions when special development contributions are levied).  Only developments that will benefit from the public infrastructure or facility in question will be liable to pay the special development contribution.  Conditions imposing special contributions may be appealed to An Bord Pleanála.</w:t>
      </w:r>
    </w:p>
    <w:p w:rsidR="00AC0474" w:rsidRPr="00E54D1E" w:rsidRDefault="00AC0474" w:rsidP="00AC0474">
      <w:pPr>
        <w:pStyle w:val="ListBullet"/>
        <w:numPr>
          <w:ilvl w:val="0"/>
          <w:numId w:val="0"/>
        </w:numPr>
        <w:tabs>
          <w:tab w:val="left" w:pos="0"/>
          <w:tab w:val="left" w:pos="720"/>
          <w:tab w:val="left" w:pos="2070"/>
        </w:tabs>
        <w:jc w:val="center"/>
        <w:rPr>
          <w:rFonts w:ascii="Arial" w:hAnsi="Arial" w:cs="Arial"/>
          <w:b/>
          <w:color w:val="000000"/>
          <w:sz w:val="22"/>
          <w:szCs w:val="22"/>
        </w:rPr>
      </w:pPr>
      <w:r w:rsidRPr="00E54D1E">
        <w:rPr>
          <w:rFonts w:ascii="Arial" w:hAnsi="Arial" w:cs="Arial"/>
          <w:b/>
          <w:color w:val="000000"/>
          <w:sz w:val="22"/>
          <w:szCs w:val="22"/>
        </w:rPr>
        <w:br w:type="page"/>
      </w:r>
      <w:r w:rsidRPr="00E54D1E">
        <w:rPr>
          <w:rFonts w:ascii="Arial" w:hAnsi="Arial" w:cs="Arial"/>
          <w:b/>
          <w:color w:val="000000"/>
          <w:sz w:val="22"/>
          <w:szCs w:val="22"/>
        </w:rPr>
        <w:lastRenderedPageBreak/>
        <w:t>APPENDIX I</w:t>
      </w:r>
    </w:p>
    <w:p w:rsidR="00AC0474" w:rsidRPr="00996EDD" w:rsidRDefault="00AC0474" w:rsidP="00AC0474">
      <w:pPr>
        <w:tabs>
          <w:tab w:val="left" w:pos="0"/>
          <w:tab w:val="left" w:pos="720"/>
          <w:tab w:val="left" w:pos="2070"/>
        </w:tabs>
        <w:rPr>
          <w:rFonts w:ascii="Arial" w:hAnsi="Arial" w:cs="Arial"/>
          <w:b/>
          <w:color w:val="000000"/>
        </w:rPr>
      </w:pPr>
    </w:p>
    <w:p w:rsidR="00AC0474" w:rsidRPr="00996EDD" w:rsidRDefault="00AC0474" w:rsidP="00AC0474">
      <w:pPr>
        <w:tabs>
          <w:tab w:val="left" w:pos="0"/>
          <w:tab w:val="left" w:pos="720"/>
          <w:tab w:val="left" w:pos="2070"/>
        </w:tabs>
        <w:jc w:val="center"/>
        <w:rPr>
          <w:rFonts w:ascii="Arial" w:hAnsi="Arial" w:cs="Arial"/>
          <w:b/>
          <w:color w:val="000000"/>
        </w:rPr>
      </w:pPr>
      <w:r w:rsidRPr="00996EDD">
        <w:rPr>
          <w:rFonts w:ascii="Arial" w:hAnsi="Arial" w:cs="Arial"/>
          <w:b/>
          <w:color w:val="000000"/>
        </w:rPr>
        <w:t>TABLE A: COSTS INCLUDED IN SCHEME</w:t>
      </w:r>
      <w:r>
        <w:rPr>
          <w:rFonts w:ascii="Arial" w:hAnsi="Arial" w:cs="Arial"/>
          <w:b/>
          <w:color w:val="000000"/>
        </w:rPr>
        <w:t>:</w:t>
      </w:r>
    </w:p>
    <w:p w:rsidR="00AC0474" w:rsidRPr="00996EDD" w:rsidRDefault="00AC0474" w:rsidP="00AC0474">
      <w:pPr>
        <w:pStyle w:val="BodyTextIndent"/>
        <w:ind w:left="0"/>
        <w:jc w:val="both"/>
        <w:rPr>
          <w:rFonts w:ascii="Arial" w:hAnsi="Arial" w:cs="Arial"/>
          <w:b/>
          <w:color w:val="000000"/>
          <w:u w:val="single"/>
          <w:lang w:val="en-US"/>
        </w:rPr>
      </w:pPr>
    </w:p>
    <w:p w:rsidR="00AC0474" w:rsidRPr="00996EDD" w:rsidRDefault="00AC0474" w:rsidP="00AC0474">
      <w:pPr>
        <w:pStyle w:val="BodyTextIndent"/>
        <w:ind w:left="0"/>
        <w:jc w:val="both"/>
        <w:rPr>
          <w:rFonts w:ascii="Arial" w:hAnsi="Arial" w:cs="Arial"/>
          <w:b/>
          <w:color w:val="000000"/>
          <w:lang w:val="en-US"/>
        </w:rPr>
      </w:pPr>
    </w:p>
    <w:p w:rsidR="00AC0474" w:rsidRPr="00996EDD" w:rsidRDefault="00AC0474" w:rsidP="00AC0474">
      <w:pPr>
        <w:pStyle w:val="BodyTextIndent"/>
        <w:ind w:left="0"/>
        <w:jc w:val="both"/>
        <w:rPr>
          <w:rFonts w:ascii="Arial" w:hAnsi="Arial" w:cs="Arial"/>
          <w:color w:val="000000"/>
        </w:rPr>
      </w:pPr>
      <w:r w:rsidRPr="00996EDD">
        <w:rPr>
          <w:rFonts w:ascii="Arial" w:hAnsi="Arial" w:cs="Arial"/>
          <w:color w:val="000000"/>
        </w:rPr>
        <w:t>Costs attributable in the lifetime of the scheme to the classes of infrastructure and facilities:-</w:t>
      </w:r>
    </w:p>
    <w:p w:rsidR="00AC0474" w:rsidRPr="00996EDD" w:rsidRDefault="00AC0474" w:rsidP="00AC0474">
      <w:pPr>
        <w:tabs>
          <w:tab w:val="left" w:pos="0"/>
          <w:tab w:val="left" w:pos="720"/>
          <w:tab w:val="left" w:pos="2070"/>
        </w:tabs>
        <w:jc w:val="both"/>
        <w:rPr>
          <w:rFonts w:ascii="Arial" w:hAnsi="Arial" w:cs="Arial"/>
          <w:b/>
          <w:color w:val="00000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1842"/>
        <w:gridCol w:w="1985"/>
        <w:gridCol w:w="1984"/>
      </w:tblGrid>
      <w:tr w:rsidR="00AC0474" w:rsidRPr="00C93D88" w:rsidTr="0060257A">
        <w:tc>
          <w:tcPr>
            <w:tcW w:w="3261" w:type="dxa"/>
          </w:tcPr>
          <w:p w:rsidR="00AC0474" w:rsidRPr="00C93D88" w:rsidRDefault="00AC0474" w:rsidP="0060257A">
            <w:pPr>
              <w:tabs>
                <w:tab w:val="left" w:pos="0"/>
                <w:tab w:val="left" w:pos="720"/>
                <w:tab w:val="left" w:pos="2070"/>
              </w:tabs>
              <w:jc w:val="both"/>
              <w:rPr>
                <w:rFonts w:ascii="Arial" w:hAnsi="Arial" w:cs="Arial"/>
                <w:b/>
                <w:color w:val="000000"/>
              </w:rPr>
            </w:pPr>
          </w:p>
        </w:tc>
        <w:tc>
          <w:tcPr>
            <w:tcW w:w="1842" w:type="dxa"/>
          </w:tcPr>
          <w:p w:rsidR="00AC0474" w:rsidRPr="00C93D88" w:rsidRDefault="00AC0474" w:rsidP="0060257A">
            <w:pPr>
              <w:tabs>
                <w:tab w:val="left" w:pos="0"/>
                <w:tab w:val="left" w:pos="720"/>
                <w:tab w:val="left" w:pos="2070"/>
              </w:tabs>
              <w:jc w:val="right"/>
              <w:rPr>
                <w:rFonts w:ascii="Arial" w:hAnsi="Arial" w:cs="Arial"/>
                <w:b/>
                <w:color w:val="000000"/>
              </w:rPr>
            </w:pPr>
            <w:r w:rsidRPr="00C93D88">
              <w:rPr>
                <w:rFonts w:ascii="Arial" w:hAnsi="Arial" w:cs="Arial"/>
                <w:b/>
                <w:color w:val="000000"/>
              </w:rPr>
              <w:t xml:space="preserve">Eligible Costs </w:t>
            </w:r>
          </w:p>
          <w:p w:rsidR="00AC0474" w:rsidRPr="00C93D88" w:rsidRDefault="00AC0474" w:rsidP="0060257A">
            <w:pPr>
              <w:tabs>
                <w:tab w:val="left" w:pos="0"/>
                <w:tab w:val="left" w:pos="720"/>
                <w:tab w:val="left" w:pos="2070"/>
              </w:tabs>
              <w:jc w:val="right"/>
              <w:rPr>
                <w:rFonts w:ascii="Arial" w:hAnsi="Arial" w:cs="Arial"/>
                <w:b/>
                <w:color w:val="000000"/>
              </w:rPr>
            </w:pPr>
          </w:p>
        </w:tc>
        <w:tc>
          <w:tcPr>
            <w:tcW w:w="1985" w:type="dxa"/>
          </w:tcPr>
          <w:p w:rsidR="00AC0474" w:rsidRPr="00C93D88" w:rsidRDefault="00AC0474" w:rsidP="0060257A">
            <w:pPr>
              <w:tabs>
                <w:tab w:val="left" w:pos="0"/>
                <w:tab w:val="left" w:pos="720"/>
                <w:tab w:val="left" w:pos="2070"/>
              </w:tabs>
              <w:jc w:val="right"/>
              <w:rPr>
                <w:rFonts w:ascii="Arial" w:hAnsi="Arial" w:cs="Arial"/>
                <w:b/>
                <w:color w:val="000000"/>
              </w:rPr>
            </w:pPr>
            <w:r w:rsidRPr="00C93D88">
              <w:rPr>
                <w:rFonts w:ascii="Arial" w:hAnsi="Arial" w:cs="Arial"/>
                <w:b/>
                <w:color w:val="000000"/>
              </w:rPr>
              <w:t xml:space="preserve">% Contributions Allocated </w:t>
            </w:r>
          </w:p>
        </w:tc>
        <w:tc>
          <w:tcPr>
            <w:tcW w:w="1984" w:type="dxa"/>
          </w:tcPr>
          <w:p w:rsidR="00AC0474" w:rsidRPr="00C93D88" w:rsidRDefault="00AC0474" w:rsidP="0060257A">
            <w:pPr>
              <w:tabs>
                <w:tab w:val="left" w:pos="0"/>
                <w:tab w:val="left" w:pos="720"/>
                <w:tab w:val="left" w:pos="2070"/>
              </w:tabs>
              <w:jc w:val="right"/>
              <w:rPr>
                <w:rFonts w:ascii="Arial" w:hAnsi="Arial" w:cs="Arial"/>
                <w:b/>
                <w:color w:val="000000"/>
              </w:rPr>
            </w:pPr>
            <w:r w:rsidRPr="00C93D88">
              <w:rPr>
                <w:rFonts w:ascii="Arial" w:hAnsi="Arial" w:cs="Arial"/>
                <w:b/>
                <w:color w:val="000000"/>
              </w:rPr>
              <w:t>Contributions Allocated</w:t>
            </w:r>
          </w:p>
        </w:tc>
      </w:tr>
      <w:tr w:rsidR="00AC0474" w:rsidRPr="00C93D88" w:rsidTr="0060257A">
        <w:tc>
          <w:tcPr>
            <w:tcW w:w="3261" w:type="dxa"/>
          </w:tcPr>
          <w:p w:rsidR="00AC0474" w:rsidRPr="00C93D88" w:rsidRDefault="00AC0474" w:rsidP="0060257A">
            <w:pPr>
              <w:rPr>
                <w:rFonts w:ascii="Arial" w:hAnsi="Arial" w:cs="Arial"/>
              </w:rPr>
            </w:pPr>
            <w:r w:rsidRPr="00C93D88">
              <w:rPr>
                <w:rFonts w:ascii="Arial" w:hAnsi="Arial" w:cs="Arial"/>
              </w:rPr>
              <w:t>Class 1: Roads infrastructure &amp; facilities</w:t>
            </w:r>
          </w:p>
        </w:tc>
        <w:tc>
          <w:tcPr>
            <w:tcW w:w="1842" w:type="dxa"/>
          </w:tcPr>
          <w:p w:rsidR="00AC0474" w:rsidRPr="00C93D88" w:rsidRDefault="00AC0474" w:rsidP="0060257A">
            <w:pPr>
              <w:tabs>
                <w:tab w:val="left" w:pos="0"/>
                <w:tab w:val="left" w:pos="720"/>
                <w:tab w:val="left" w:pos="2070"/>
              </w:tabs>
              <w:jc w:val="center"/>
              <w:rPr>
                <w:rFonts w:ascii="Arial" w:hAnsi="Arial" w:cs="Arial"/>
                <w:color w:val="000000"/>
              </w:rPr>
            </w:pPr>
          </w:p>
          <w:p w:rsidR="00AC0474" w:rsidRPr="00C93D88" w:rsidRDefault="00AC0474" w:rsidP="0060257A">
            <w:pPr>
              <w:tabs>
                <w:tab w:val="left" w:pos="0"/>
                <w:tab w:val="left" w:pos="720"/>
                <w:tab w:val="left" w:pos="2070"/>
              </w:tabs>
              <w:jc w:val="center"/>
              <w:rPr>
                <w:rFonts w:ascii="Arial" w:hAnsi="Arial" w:cs="Arial"/>
                <w:color w:val="000000"/>
              </w:rPr>
            </w:pPr>
            <w:r w:rsidRPr="00C93D88">
              <w:rPr>
                <w:rFonts w:ascii="Arial" w:hAnsi="Arial" w:cs="Arial"/>
                <w:color w:val="000000"/>
              </w:rPr>
              <w:t>€</w:t>
            </w:r>
            <w:r>
              <w:rPr>
                <w:rFonts w:ascii="Arial" w:hAnsi="Arial" w:cs="Arial"/>
                <w:color w:val="000000"/>
              </w:rPr>
              <w:t>92.70</w:t>
            </w:r>
            <w:r w:rsidRPr="00C93D88">
              <w:rPr>
                <w:rFonts w:ascii="Arial" w:hAnsi="Arial" w:cs="Arial"/>
                <w:color w:val="000000"/>
              </w:rPr>
              <w:t>m</w:t>
            </w:r>
          </w:p>
        </w:tc>
        <w:tc>
          <w:tcPr>
            <w:tcW w:w="1985" w:type="dxa"/>
            <w:vAlign w:val="bottom"/>
          </w:tcPr>
          <w:p w:rsidR="00AC0474" w:rsidRPr="00C93D88" w:rsidRDefault="00AC0474" w:rsidP="0060257A">
            <w:pPr>
              <w:jc w:val="center"/>
              <w:rPr>
                <w:rFonts w:ascii="Arial" w:hAnsi="Arial" w:cs="Arial"/>
                <w:color w:val="000000"/>
              </w:rPr>
            </w:pPr>
            <w:r w:rsidRPr="00C93D88">
              <w:rPr>
                <w:rFonts w:ascii="Arial" w:hAnsi="Arial" w:cs="Arial"/>
                <w:color w:val="000000"/>
              </w:rPr>
              <w:t>30.24%</w:t>
            </w:r>
          </w:p>
        </w:tc>
        <w:tc>
          <w:tcPr>
            <w:tcW w:w="1984" w:type="dxa"/>
            <w:vAlign w:val="bottom"/>
          </w:tcPr>
          <w:p w:rsidR="00AC0474" w:rsidRPr="00C93D88" w:rsidRDefault="00AC0474" w:rsidP="0060257A">
            <w:pPr>
              <w:jc w:val="center"/>
              <w:rPr>
                <w:rFonts w:ascii="Arial" w:hAnsi="Arial" w:cs="Arial"/>
                <w:color w:val="000000"/>
              </w:rPr>
            </w:pPr>
            <w:r w:rsidRPr="00C93D88">
              <w:rPr>
                <w:rFonts w:ascii="Arial" w:hAnsi="Arial" w:cs="Arial"/>
                <w:color w:val="000000"/>
              </w:rPr>
              <w:t>€</w:t>
            </w:r>
            <w:r>
              <w:rPr>
                <w:rFonts w:ascii="Arial" w:hAnsi="Arial" w:cs="Arial"/>
                <w:color w:val="000000"/>
              </w:rPr>
              <w:t>48.50</w:t>
            </w:r>
            <w:r w:rsidRPr="00C93D88">
              <w:rPr>
                <w:rFonts w:ascii="Arial" w:hAnsi="Arial" w:cs="Arial"/>
                <w:color w:val="000000"/>
              </w:rPr>
              <w:t>m</w:t>
            </w:r>
          </w:p>
        </w:tc>
      </w:tr>
      <w:tr w:rsidR="00AC0474" w:rsidRPr="00C93D88" w:rsidTr="0060257A">
        <w:trPr>
          <w:trHeight w:val="587"/>
        </w:trPr>
        <w:tc>
          <w:tcPr>
            <w:tcW w:w="3261" w:type="dxa"/>
          </w:tcPr>
          <w:p w:rsidR="00AC0474" w:rsidRPr="00C93D88" w:rsidRDefault="00AC0474" w:rsidP="0060257A">
            <w:pPr>
              <w:rPr>
                <w:rFonts w:ascii="Arial" w:hAnsi="Arial" w:cs="Arial"/>
              </w:rPr>
            </w:pPr>
            <w:r w:rsidRPr="00C93D88">
              <w:rPr>
                <w:rFonts w:ascii="Arial" w:hAnsi="Arial" w:cs="Arial"/>
              </w:rPr>
              <w:t>Class 2: Drainage (surface water) infrastructure &amp; facilities</w:t>
            </w:r>
          </w:p>
        </w:tc>
        <w:tc>
          <w:tcPr>
            <w:tcW w:w="1842" w:type="dxa"/>
          </w:tcPr>
          <w:p w:rsidR="00AC0474" w:rsidRDefault="00AC0474" w:rsidP="0060257A">
            <w:pPr>
              <w:tabs>
                <w:tab w:val="left" w:pos="0"/>
                <w:tab w:val="left" w:pos="720"/>
                <w:tab w:val="left" w:pos="2070"/>
              </w:tabs>
              <w:jc w:val="center"/>
              <w:rPr>
                <w:rFonts w:ascii="Arial" w:hAnsi="Arial" w:cs="Arial"/>
                <w:color w:val="000000"/>
              </w:rPr>
            </w:pPr>
          </w:p>
          <w:p w:rsidR="00AC0474" w:rsidRPr="00C93D88" w:rsidRDefault="00AC0474" w:rsidP="0060257A">
            <w:pPr>
              <w:tabs>
                <w:tab w:val="left" w:pos="0"/>
                <w:tab w:val="left" w:pos="720"/>
                <w:tab w:val="left" w:pos="2070"/>
              </w:tabs>
              <w:jc w:val="center"/>
              <w:rPr>
                <w:rFonts w:ascii="Arial" w:hAnsi="Arial" w:cs="Arial"/>
                <w:color w:val="000000"/>
              </w:rPr>
            </w:pPr>
            <w:r w:rsidRPr="00C93D88">
              <w:rPr>
                <w:rFonts w:ascii="Arial" w:hAnsi="Arial" w:cs="Arial"/>
                <w:color w:val="000000"/>
              </w:rPr>
              <w:t>€</w:t>
            </w:r>
            <w:r>
              <w:rPr>
                <w:rFonts w:ascii="Arial" w:hAnsi="Arial" w:cs="Arial"/>
                <w:color w:val="000000"/>
              </w:rPr>
              <w:t>15.30</w:t>
            </w:r>
            <w:r w:rsidRPr="00C93D88">
              <w:rPr>
                <w:rFonts w:ascii="Arial" w:hAnsi="Arial" w:cs="Arial"/>
                <w:color w:val="000000"/>
              </w:rPr>
              <w:t>m</w:t>
            </w:r>
          </w:p>
        </w:tc>
        <w:tc>
          <w:tcPr>
            <w:tcW w:w="1985" w:type="dxa"/>
            <w:vAlign w:val="bottom"/>
          </w:tcPr>
          <w:p w:rsidR="00AC0474" w:rsidRPr="00195F5C" w:rsidRDefault="00AC0474" w:rsidP="0060257A">
            <w:pPr>
              <w:jc w:val="center"/>
              <w:rPr>
                <w:rFonts w:ascii="Arial" w:hAnsi="Arial" w:cs="Arial"/>
                <w:color w:val="000000"/>
              </w:rPr>
            </w:pPr>
            <w:r w:rsidRPr="00195F5C">
              <w:rPr>
                <w:rFonts w:ascii="Arial" w:hAnsi="Arial" w:cs="Arial"/>
                <w:color w:val="000000"/>
              </w:rPr>
              <w:t>5.00%</w:t>
            </w:r>
          </w:p>
        </w:tc>
        <w:tc>
          <w:tcPr>
            <w:tcW w:w="1984" w:type="dxa"/>
            <w:vAlign w:val="bottom"/>
          </w:tcPr>
          <w:p w:rsidR="00AC0474" w:rsidRPr="00195F5C" w:rsidRDefault="00AC0474" w:rsidP="0060257A">
            <w:pPr>
              <w:jc w:val="center"/>
              <w:rPr>
                <w:rFonts w:ascii="Arial" w:hAnsi="Arial" w:cs="Arial"/>
                <w:color w:val="000000"/>
              </w:rPr>
            </w:pPr>
            <w:r w:rsidRPr="00195F5C">
              <w:rPr>
                <w:rFonts w:ascii="Arial" w:hAnsi="Arial" w:cs="Arial"/>
                <w:color w:val="000000"/>
              </w:rPr>
              <w:t>€</w:t>
            </w:r>
            <w:r>
              <w:rPr>
                <w:rFonts w:ascii="Arial" w:hAnsi="Arial" w:cs="Arial"/>
                <w:color w:val="000000"/>
              </w:rPr>
              <w:t>8.0m</w:t>
            </w:r>
          </w:p>
        </w:tc>
      </w:tr>
      <w:tr w:rsidR="00AC0474" w:rsidRPr="00C93D88" w:rsidTr="0060257A">
        <w:tc>
          <w:tcPr>
            <w:tcW w:w="3261" w:type="dxa"/>
          </w:tcPr>
          <w:p w:rsidR="00AC0474" w:rsidRPr="00C93D88" w:rsidRDefault="00AC0474" w:rsidP="0060257A">
            <w:pPr>
              <w:rPr>
                <w:rFonts w:ascii="Arial" w:hAnsi="Arial" w:cs="Arial"/>
              </w:rPr>
            </w:pPr>
            <w:r w:rsidRPr="00C93D88">
              <w:rPr>
                <w:rFonts w:ascii="Arial" w:hAnsi="Arial" w:cs="Arial"/>
              </w:rPr>
              <w:t>Class 3: Parks &amp; open space facilities &amp; amenities</w:t>
            </w:r>
          </w:p>
        </w:tc>
        <w:tc>
          <w:tcPr>
            <w:tcW w:w="1842" w:type="dxa"/>
          </w:tcPr>
          <w:p w:rsidR="00AC0474" w:rsidRPr="00C93D88" w:rsidRDefault="00AC0474" w:rsidP="0060257A">
            <w:pPr>
              <w:tabs>
                <w:tab w:val="left" w:pos="0"/>
                <w:tab w:val="left" w:pos="720"/>
                <w:tab w:val="left" w:pos="2070"/>
              </w:tabs>
              <w:jc w:val="center"/>
              <w:rPr>
                <w:rFonts w:ascii="Arial" w:hAnsi="Arial" w:cs="Arial"/>
                <w:color w:val="000000"/>
              </w:rPr>
            </w:pPr>
          </w:p>
          <w:p w:rsidR="00AC0474" w:rsidRPr="00C93D88" w:rsidRDefault="00AC0474" w:rsidP="0060257A">
            <w:pPr>
              <w:tabs>
                <w:tab w:val="left" w:pos="0"/>
                <w:tab w:val="left" w:pos="720"/>
                <w:tab w:val="left" w:pos="2070"/>
              </w:tabs>
              <w:jc w:val="center"/>
              <w:rPr>
                <w:rFonts w:ascii="Arial" w:hAnsi="Arial" w:cs="Arial"/>
                <w:color w:val="000000"/>
              </w:rPr>
            </w:pPr>
            <w:r w:rsidRPr="00C93D88">
              <w:rPr>
                <w:rFonts w:ascii="Arial" w:hAnsi="Arial" w:cs="Arial"/>
                <w:color w:val="000000"/>
              </w:rPr>
              <w:t>€</w:t>
            </w:r>
            <w:r>
              <w:rPr>
                <w:rFonts w:ascii="Arial" w:hAnsi="Arial" w:cs="Arial"/>
                <w:color w:val="000000"/>
              </w:rPr>
              <w:t>51.10</w:t>
            </w:r>
            <w:r w:rsidRPr="00C93D88">
              <w:rPr>
                <w:rFonts w:ascii="Arial" w:hAnsi="Arial" w:cs="Arial"/>
                <w:color w:val="000000"/>
              </w:rPr>
              <w:t>m</w:t>
            </w:r>
          </w:p>
        </w:tc>
        <w:tc>
          <w:tcPr>
            <w:tcW w:w="1985" w:type="dxa"/>
            <w:vAlign w:val="bottom"/>
          </w:tcPr>
          <w:p w:rsidR="00AC0474" w:rsidRPr="00195F5C" w:rsidRDefault="00AC0474" w:rsidP="0060257A">
            <w:pPr>
              <w:jc w:val="center"/>
              <w:rPr>
                <w:rFonts w:ascii="Arial" w:hAnsi="Arial" w:cs="Arial"/>
                <w:color w:val="000000"/>
              </w:rPr>
            </w:pPr>
            <w:r w:rsidRPr="00195F5C">
              <w:rPr>
                <w:rFonts w:ascii="Arial" w:hAnsi="Arial" w:cs="Arial"/>
                <w:color w:val="000000"/>
              </w:rPr>
              <w:t>16.70%</w:t>
            </w:r>
          </w:p>
        </w:tc>
        <w:tc>
          <w:tcPr>
            <w:tcW w:w="1984" w:type="dxa"/>
            <w:vAlign w:val="bottom"/>
          </w:tcPr>
          <w:p w:rsidR="00AC0474" w:rsidRPr="00195F5C" w:rsidRDefault="00AC0474" w:rsidP="0060257A">
            <w:pPr>
              <w:jc w:val="center"/>
              <w:rPr>
                <w:rFonts w:ascii="Arial" w:hAnsi="Arial" w:cs="Arial"/>
                <w:color w:val="000000"/>
              </w:rPr>
            </w:pPr>
            <w:r w:rsidRPr="00195F5C">
              <w:rPr>
                <w:rFonts w:ascii="Arial" w:hAnsi="Arial" w:cs="Arial"/>
                <w:color w:val="000000"/>
              </w:rPr>
              <w:t>€</w:t>
            </w:r>
            <w:r>
              <w:rPr>
                <w:rFonts w:ascii="Arial" w:hAnsi="Arial" w:cs="Arial"/>
                <w:color w:val="000000"/>
              </w:rPr>
              <w:t>26.8</w:t>
            </w:r>
            <w:r w:rsidRPr="00195F5C">
              <w:rPr>
                <w:rFonts w:ascii="Arial" w:hAnsi="Arial" w:cs="Arial"/>
                <w:color w:val="000000"/>
              </w:rPr>
              <w:t>m</w:t>
            </w:r>
          </w:p>
        </w:tc>
      </w:tr>
      <w:tr w:rsidR="00AC0474" w:rsidRPr="00C93D88" w:rsidTr="0060257A">
        <w:trPr>
          <w:trHeight w:val="260"/>
        </w:trPr>
        <w:tc>
          <w:tcPr>
            <w:tcW w:w="3261" w:type="dxa"/>
          </w:tcPr>
          <w:p w:rsidR="00AC0474" w:rsidRPr="00C93D88" w:rsidRDefault="00AC0474" w:rsidP="0060257A">
            <w:pPr>
              <w:rPr>
                <w:rFonts w:ascii="Arial" w:hAnsi="Arial" w:cs="Arial"/>
              </w:rPr>
            </w:pPr>
            <w:r w:rsidRPr="00C93D88">
              <w:rPr>
                <w:rFonts w:ascii="Arial" w:hAnsi="Arial" w:cs="Arial"/>
              </w:rPr>
              <w:t>Class 4: Community facilities &amp; amenities</w:t>
            </w:r>
          </w:p>
        </w:tc>
        <w:tc>
          <w:tcPr>
            <w:tcW w:w="1842" w:type="dxa"/>
          </w:tcPr>
          <w:p w:rsidR="00AC0474" w:rsidRPr="00C93D88" w:rsidRDefault="00AC0474" w:rsidP="0060257A">
            <w:pPr>
              <w:tabs>
                <w:tab w:val="left" w:pos="0"/>
                <w:tab w:val="left" w:pos="720"/>
                <w:tab w:val="left" w:pos="2070"/>
              </w:tabs>
              <w:jc w:val="center"/>
              <w:rPr>
                <w:rFonts w:ascii="Arial" w:hAnsi="Arial" w:cs="Arial"/>
                <w:color w:val="000000"/>
              </w:rPr>
            </w:pPr>
          </w:p>
          <w:p w:rsidR="00AC0474" w:rsidRPr="00C93D88" w:rsidRDefault="00AC0474" w:rsidP="0060257A">
            <w:pPr>
              <w:tabs>
                <w:tab w:val="left" w:pos="0"/>
                <w:tab w:val="left" w:pos="720"/>
                <w:tab w:val="left" w:pos="2070"/>
              </w:tabs>
              <w:jc w:val="center"/>
              <w:rPr>
                <w:rFonts w:ascii="Arial" w:hAnsi="Arial" w:cs="Arial"/>
                <w:color w:val="000000"/>
              </w:rPr>
            </w:pPr>
            <w:r w:rsidRPr="00C93D88">
              <w:rPr>
                <w:rFonts w:ascii="Arial" w:hAnsi="Arial" w:cs="Arial"/>
                <w:color w:val="000000"/>
              </w:rPr>
              <w:t>€</w:t>
            </w:r>
            <w:r>
              <w:rPr>
                <w:rFonts w:ascii="Arial" w:hAnsi="Arial" w:cs="Arial"/>
                <w:color w:val="000000"/>
              </w:rPr>
              <w:t>67.10</w:t>
            </w:r>
            <w:r w:rsidRPr="00C93D88">
              <w:rPr>
                <w:rFonts w:ascii="Arial" w:hAnsi="Arial" w:cs="Arial"/>
                <w:color w:val="000000"/>
              </w:rPr>
              <w:t>m</w:t>
            </w:r>
          </w:p>
        </w:tc>
        <w:tc>
          <w:tcPr>
            <w:tcW w:w="1985" w:type="dxa"/>
            <w:vAlign w:val="bottom"/>
          </w:tcPr>
          <w:p w:rsidR="00AC0474" w:rsidRPr="00195F5C" w:rsidRDefault="00AC0474" w:rsidP="0060257A">
            <w:pPr>
              <w:jc w:val="center"/>
              <w:rPr>
                <w:rFonts w:ascii="Arial" w:hAnsi="Arial" w:cs="Arial"/>
                <w:color w:val="000000"/>
              </w:rPr>
            </w:pPr>
            <w:r w:rsidRPr="00195F5C">
              <w:rPr>
                <w:rFonts w:ascii="Arial" w:hAnsi="Arial" w:cs="Arial"/>
                <w:color w:val="000000"/>
              </w:rPr>
              <w:t>21.96%</w:t>
            </w:r>
          </w:p>
        </w:tc>
        <w:tc>
          <w:tcPr>
            <w:tcW w:w="1984" w:type="dxa"/>
            <w:vAlign w:val="bottom"/>
          </w:tcPr>
          <w:p w:rsidR="00AC0474" w:rsidRPr="00195F5C" w:rsidRDefault="00AC0474" w:rsidP="0060257A">
            <w:pPr>
              <w:jc w:val="center"/>
              <w:rPr>
                <w:rFonts w:ascii="Arial" w:hAnsi="Arial" w:cs="Arial"/>
                <w:color w:val="000000"/>
              </w:rPr>
            </w:pPr>
            <w:r w:rsidRPr="00195F5C">
              <w:rPr>
                <w:rFonts w:ascii="Arial" w:hAnsi="Arial" w:cs="Arial"/>
                <w:color w:val="000000"/>
              </w:rPr>
              <w:t>€</w:t>
            </w:r>
            <w:r>
              <w:rPr>
                <w:rFonts w:ascii="Arial" w:hAnsi="Arial" w:cs="Arial"/>
                <w:color w:val="000000"/>
              </w:rPr>
              <w:t>35.20m</w:t>
            </w:r>
          </w:p>
        </w:tc>
      </w:tr>
      <w:tr w:rsidR="00AC0474" w:rsidRPr="00C93D88" w:rsidTr="0060257A">
        <w:tc>
          <w:tcPr>
            <w:tcW w:w="3261" w:type="dxa"/>
          </w:tcPr>
          <w:p w:rsidR="00AC0474" w:rsidRPr="00C93D88" w:rsidRDefault="00AC0474" w:rsidP="0060257A">
            <w:pPr>
              <w:rPr>
                <w:rFonts w:ascii="Arial" w:hAnsi="Arial" w:cs="Arial"/>
              </w:rPr>
            </w:pPr>
            <w:r w:rsidRPr="00C93D88">
              <w:rPr>
                <w:rFonts w:ascii="Arial" w:hAnsi="Arial" w:cs="Arial"/>
              </w:rPr>
              <w:t>Class 5: Urban regeneration facilities &amp; amenities</w:t>
            </w:r>
          </w:p>
        </w:tc>
        <w:tc>
          <w:tcPr>
            <w:tcW w:w="1842" w:type="dxa"/>
          </w:tcPr>
          <w:p w:rsidR="00AC0474" w:rsidRPr="00C93D88" w:rsidRDefault="00AC0474" w:rsidP="0060257A">
            <w:pPr>
              <w:tabs>
                <w:tab w:val="left" w:pos="0"/>
                <w:tab w:val="left" w:pos="720"/>
                <w:tab w:val="left" w:pos="2070"/>
              </w:tabs>
              <w:jc w:val="center"/>
              <w:rPr>
                <w:rFonts w:ascii="Arial" w:hAnsi="Arial" w:cs="Arial"/>
                <w:color w:val="000000"/>
              </w:rPr>
            </w:pPr>
          </w:p>
          <w:p w:rsidR="00AC0474" w:rsidRPr="00C93D88" w:rsidRDefault="00AC0474" w:rsidP="0060257A">
            <w:pPr>
              <w:tabs>
                <w:tab w:val="left" w:pos="0"/>
                <w:tab w:val="left" w:pos="720"/>
                <w:tab w:val="left" w:pos="2070"/>
              </w:tabs>
              <w:jc w:val="center"/>
              <w:rPr>
                <w:rFonts w:ascii="Arial" w:hAnsi="Arial" w:cs="Arial"/>
                <w:color w:val="000000"/>
              </w:rPr>
            </w:pPr>
            <w:r w:rsidRPr="00C93D88">
              <w:rPr>
                <w:rFonts w:ascii="Arial" w:hAnsi="Arial" w:cs="Arial"/>
                <w:color w:val="000000"/>
              </w:rPr>
              <w:t>€</w:t>
            </w:r>
            <w:r>
              <w:rPr>
                <w:rFonts w:ascii="Arial" w:hAnsi="Arial" w:cs="Arial"/>
                <w:color w:val="000000"/>
              </w:rPr>
              <w:t>80.00</w:t>
            </w:r>
            <w:r w:rsidRPr="00C93D88">
              <w:rPr>
                <w:rFonts w:ascii="Arial" w:hAnsi="Arial" w:cs="Arial"/>
                <w:color w:val="000000"/>
              </w:rPr>
              <w:t>m</w:t>
            </w:r>
          </w:p>
        </w:tc>
        <w:tc>
          <w:tcPr>
            <w:tcW w:w="1985" w:type="dxa"/>
            <w:vAlign w:val="bottom"/>
          </w:tcPr>
          <w:p w:rsidR="00AC0474" w:rsidRPr="00C93D88" w:rsidRDefault="00AC0474" w:rsidP="0060257A">
            <w:pPr>
              <w:jc w:val="center"/>
              <w:rPr>
                <w:rFonts w:ascii="Arial" w:hAnsi="Arial" w:cs="Arial"/>
                <w:color w:val="000000"/>
              </w:rPr>
            </w:pPr>
            <w:r w:rsidRPr="00C93D88">
              <w:rPr>
                <w:rFonts w:ascii="Arial" w:hAnsi="Arial" w:cs="Arial"/>
                <w:color w:val="000000"/>
              </w:rPr>
              <w:t>26.10%</w:t>
            </w:r>
          </w:p>
        </w:tc>
        <w:tc>
          <w:tcPr>
            <w:tcW w:w="1984" w:type="dxa"/>
            <w:vAlign w:val="bottom"/>
          </w:tcPr>
          <w:p w:rsidR="00AC0474" w:rsidRPr="00C93D88" w:rsidRDefault="00AC0474" w:rsidP="0060257A">
            <w:pPr>
              <w:jc w:val="center"/>
              <w:rPr>
                <w:rFonts w:ascii="Arial" w:hAnsi="Arial" w:cs="Arial"/>
                <w:color w:val="000000"/>
              </w:rPr>
            </w:pPr>
            <w:r w:rsidRPr="00C93D88">
              <w:rPr>
                <w:rFonts w:ascii="Arial" w:hAnsi="Arial" w:cs="Arial"/>
                <w:color w:val="000000"/>
              </w:rPr>
              <w:t>€</w:t>
            </w:r>
            <w:r>
              <w:rPr>
                <w:rFonts w:ascii="Arial" w:hAnsi="Arial" w:cs="Arial"/>
                <w:color w:val="000000"/>
              </w:rPr>
              <w:t>41.90</w:t>
            </w:r>
            <w:r w:rsidRPr="00C93D88">
              <w:rPr>
                <w:rFonts w:ascii="Arial" w:hAnsi="Arial" w:cs="Arial"/>
                <w:color w:val="000000"/>
              </w:rPr>
              <w:t>m</w:t>
            </w:r>
          </w:p>
        </w:tc>
      </w:tr>
      <w:tr w:rsidR="00AC0474" w:rsidRPr="00C93D88" w:rsidTr="0060257A">
        <w:tc>
          <w:tcPr>
            <w:tcW w:w="3261" w:type="dxa"/>
          </w:tcPr>
          <w:p w:rsidR="00AC0474" w:rsidRPr="00C93D88" w:rsidRDefault="00AC0474" w:rsidP="0060257A">
            <w:pPr>
              <w:tabs>
                <w:tab w:val="left" w:pos="0"/>
                <w:tab w:val="left" w:pos="720"/>
                <w:tab w:val="left" w:pos="2070"/>
              </w:tabs>
              <w:jc w:val="both"/>
              <w:rPr>
                <w:rFonts w:ascii="Arial" w:hAnsi="Arial" w:cs="Arial"/>
                <w:b/>
                <w:color w:val="000000"/>
              </w:rPr>
            </w:pPr>
            <w:r w:rsidRPr="00C93D88">
              <w:rPr>
                <w:rFonts w:ascii="Arial" w:hAnsi="Arial" w:cs="Arial"/>
                <w:b/>
                <w:color w:val="000000"/>
              </w:rPr>
              <w:t xml:space="preserve">Total costs included in Scheme </w:t>
            </w:r>
          </w:p>
        </w:tc>
        <w:tc>
          <w:tcPr>
            <w:tcW w:w="1842" w:type="dxa"/>
          </w:tcPr>
          <w:p w:rsidR="00AC0474" w:rsidRPr="00C93D88" w:rsidRDefault="00AC0474" w:rsidP="0060257A">
            <w:pPr>
              <w:tabs>
                <w:tab w:val="left" w:pos="0"/>
                <w:tab w:val="left" w:pos="720"/>
                <w:tab w:val="left" w:pos="2070"/>
              </w:tabs>
              <w:jc w:val="center"/>
              <w:rPr>
                <w:rFonts w:ascii="Arial" w:hAnsi="Arial" w:cs="Arial"/>
                <w:b/>
                <w:color w:val="000000"/>
              </w:rPr>
            </w:pPr>
          </w:p>
          <w:p w:rsidR="00AC0474" w:rsidRPr="00C93D88" w:rsidRDefault="00AC0474" w:rsidP="0060257A">
            <w:pPr>
              <w:tabs>
                <w:tab w:val="left" w:pos="0"/>
                <w:tab w:val="left" w:pos="720"/>
                <w:tab w:val="left" w:pos="2070"/>
              </w:tabs>
              <w:jc w:val="center"/>
              <w:rPr>
                <w:rFonts w:ascii="Arial" w:hAnsi="Arial" w:cs="Arial"/>
                <w:b/>
                <w:color w:val="000000"/>
              </w:rPr>
            </w:pPr>
            <w:r w:rsidRPr="00C93D88">
              <w:rPr>
                <w:rFonts w:ascii="Arial" w:hAnsi="Arial" w:cs="Arial"/>
                <w:b/>
                <w:color w:val="000000"/>
              </w:rPr>
              <w:t>€</w:t>
            </w:r>
            <w:r w:rsidRPr="00B53550">
              <w:rPr>
                <w:rFonts w:ascii="Arial" w:hAnsi="Arial" w:cs="Arial"/>
                <w:b/>
              </w:rPr>
              <w:t>306.20m</w:t>
            </w:r>
          </w:p>
        </w:tc>
        <w:tc>
          <w:tcPr>
            <w:tcW w:w="1985" w:type="dxa"/>
          </w:tcPr>
          <w:p w:rsidR="00AC0474" w:rsidRPr="00C93D88" w:rsidRDefault="00AC0474" w:rsidP="0060257A">
            <w:pPr>
              <w:tabs>
                <w:tab w:val="left" w:pos="0"/>
                <w:tab w:val="left" w:pos="720"/>
                <w:tab w:val="left" w:pos="2070"/>
              </w:tabs>
              <w:jc w:val="center"/>
              <w:rPr>
                <w:rFonts w:ascii="Arial" w:hAnsi="Arial" w:cs="Arial"/>
                <w:b/>
                <w:color w:val="000000"/>
              </w:rPr>
            </w:pPr>
          </w:p>
          <w:p w:rsidR="00AC0474" w:rsidRPr="00C93D88" w:rsidRDefault="00AC0474" w:rsidP="0060257A">
            <w:pPr>
              <w:tabs>
                <w:tab w:val="left" w:pos="0"/>
                <w:tab w:val="left" w:pos="720"/>
                <w:tab w:val="left" w:pos="2070"/>
              </w:tabs>
              <w:jc w:val="center"/>
              <w:rPr>
                <w:rFonts w:ascii="Arial" w:hAnsi="Arial" w:cs="Arial"/>
                <w:b/>
                <w:color w:val="000000"/>
              </w:rPr>
            </w:pPr>
            <w:r w:rsidRPr="00C93D88">
              <w:rPr>
                <w:rFonts w:ascii="Arial" w:hAnsi="Arial" w:cs="Arial"/>
                <w:b/>
                <w:color w:val="000000"/>
              </w:rPr>
              <w:t>100%</w:t>
            </w:r>
          </w:p>
        </w:tc>
        <w:tc>
          <w:tcPr>
            <w:tcW w:w="1984" w:type="dxa"/>
          </w:tcPr>
          <w:p w:rsidR="00AC0474" w:rsidRPr="00C93D88" w:rsidRDefault="00AC0474" w:rsidP="0060257A">
            <w:pPr>
              <w:tabs>
                <w:tab w:val="left" w:pos="0"/>
                <w:tab w:val="left" w:pos="720"/>
                <w:tab w:val="left" w:pos="2070"/>
              </w:tabs>
              <w:jc w:val="center"/>
              <w:rPr>
                <w:rFonts w:ascii="Arial" w:hAnsi="Arial" w:cs="Arial"/>
                <w:b/>
                <w:color w:val="000000"/>
              </w:rPr>
            </w:pPr>
          </w:p>
          <w:p w:rsidR="00AC0474" w:rsidRPr="00C93D88" w:rsidRDefault="00AC0474" w:rsidP="0060257A">
            <w:pPr>
              <w:tabs>
                <w:tab w:val="left" w:pos="0"/>
                <w:tab w:val="left" w:pos="720"/>
                <w:tab w:val="left" w:pos="2070"/>
              </w:tabs>
              <w:jc w:val="center"/>
              <w:rPr>
                <w:rFonts w:ascii="Arial" w:hAnsi="Arial" w:cs="Arial"/>
                <w:b/>
                <w:color w:val="000000"/>
              </w:rPr>
            </w:pPr>
            <w:r w:rsidRPr="00C93D88">
              <w:rPr>
                <w:rFonts w:ascii="Arial" w:hAnsi="Arial" w:cs="Arial"/>
                <w:b/>
                <w:color w:val="000000"/>
              </w:rPr>
              <w:t>€</w:t>
            </w:r>
            <w:r>
              <w:rPr>
                <w:rFonts w:ascii="Arial" w:hAnsi="Arial" w:cs="Arial"/>
                <w:b/>
                <w:color w:val="000000"/>
              </w:rPr>
              <w:t>160.40</w:t>
            </w:r>
          </w:p>
        </w:tc>
      </w:tr>
    </w:tbl>
    <w:p w:rsidR="00AC0474" w:rsidRPr="00996EDD" w:rsidRDefault="00AC0474" w:rsidP="00AC0474">
      <w:pPr>
        <w:tabs>
          <w:tab w:val="left" w:pos="0"/>
          <w:tab w:val="left" w:pos="720"/>
          <w:tab w:val="left" w:pos="2070"/>
        </w:tabs>
        <w:jc w:val="both"/>
        <w:rPr>
          <w:rFonts w:ascii="Arial" w:hAnsi="Arial" w:cs="Arial"/>
          <w:b/>
          <w:color w:val="000000"/>
        </w:rPr>
      </w:pPr>
    </w:p>
    <w:p w:rsidR="00AC0474" w:rsidRDefault="00AC0474" w:rsidP="00AC0474">
      <w:pPr>
        <w:pStyle w:val="Heading2"/>
        <w:jc w:val="both"/>
        <w:rPr>
          <w:rFonts w:ascii="Arial" w:hAnsi="Arial" w:cs="Arial"/>
          <w:color w:val="000000"/>
          <w:sz w:val="22"/>
          <w:szCs w:val="22"/>
        </w:rPr>
      </w:pPr>
    </w:p>
    <w:p w:rsidR="00AC0474" w:rsidRPr="00A64C2F" w:rsidRDefault="00AC0474" w:rsidP="00AC0474">
      <w:pPr>
        <w:pStyle w:val="Heading2"/>
        <w:rPr>
          <w:rFonts w:ascii="Arial" w:hAnsi="Arial" w:cs="Arial"/>
          <w:b/>
          <w:color w:val="000000"/>
          <w:sz w:val="22"/>
          <w:szCs w:val="22"/>
        </w:rPr>
      </w:pPr>
      <w:bookmarkStart w:id="0" w:name="_GoBack"/>
      <w:r w:rsidRPr="00A64C2F">
        <w:rPr>
          <w:rFonts w:ascii="Arial" w:hAnsi="Arial" w:cs="Arial"/>
          <w:b/>
          <w:color w:val="000000"/>
          <w:sz w:val="22"/>
          <w:szCs w:val="22"/>
        </w:rPr>
        <w:t>TABLE B – PROJECTED DEVELOPMENT:</w:t>
      </w:r>
    </w:p>
    <w:p w:rsidR="00AC0474" w:rsidRPr="00A64C2F" w:rsidRDefault="00AC0474" w:rsidP="00AC0474">
      <w:pPr>
        <w:jc w:val="both"/>
        <w:rPr>
          <w:rFonts w:ascii="Arial" w:hAnsi="Arial" w:cs="Arial"/>
          <w:b/>
          <w:color w:val="000000"/>
        </w:rPr>
      </w:pPr>
    </w:p>
    <w:bookmarkEnd w:id="0"/>
    <w:p w:rsidR="00AC0474" w:rsidRPr="00996EDD" w:rsidRDefault="00AC0474" w:rsidP="00AC0474">
      <w:pPr>
        <w:pStyle w:val="BodyText"/>
        <w:jc w:val="both"/>
        <w:rPr>
          <w:rFonts w:ascii="Arial" w:hAnsi="Arial" w:cs="Arial"/>
          <w:color w:val="000000"/>
        </w:rPr>
      </w:pPr>
      <w:r w:rsidRPr="00996EDD">
        <w:rPr>
          <w:rFonts w:ascii="Arial" w:hAnsi="Arial" w:cs="Arial"/>
          <w:color w:val="000000"/>
        </w:rPr>
        <w:t>Units of projected residential development and projected industrial/commercial development:-</w:t>
      </w:r>
    </w:p>
    <w:p w:rsidR="00AC0474" w:rsidRPr="00996EDD" w:rsidRDefault="00AC0474" w:rsidP="00AC0474">
      <w:pPr>
        <w:ind w:left="2160"/>
        <w:jc w:val="both"/>
        <w:rPr>
          <w:rFonts w:ascii="Arial" w:hAnsi="Arial" w:cs="Arial"/>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230"/>
      </w:tblGrid>
      <w:tr w:rsidR="00AC0474" w:rsidRPr="00996EDD" w:rsidTr="0060257A">
        <w:tc>
          <w:tcPr>
            <w:tcW w:w="4410" w:type="dxa"/>
          </w:tcPr>
          <w:p w:rsidR="00AC0474" w:rsidRPr="00996EDD" w:rsidRDefault="00AC0474" w:rsidP="0060257A">
            <w:pPr>
              <w:jc w:val="center"/>
              <w:rPr>
                <w:rFonts w:ascii="Arial" w:hAnsi="Arial" w:cs="Arial"/>
                <w:b/>
                <w:color w:val="000000"/>
                <w:u w:val="single"/>
              </w:rPr>
            </w:pPr>
            <w:r w:rsidRPr="00996EDD">
              <w:rPr>
                <w:rFonts w:ascii="Arial" w:hAnsi="Arial" w:cs="Arial"/>
                <w:b/>
                <w:color w:val="000000"/>
                <w:u w:val="single"/>
              </w:rPr>
              <w:t>Residential</w:t>
            </w:r>
          </w:p>
          <w:p w:rsidR="00AC0474" w:rsidRPr="00996EDD" w:rsidRDefault="00AC0474" w:rsidP="0060257A">
            <w:pPr>
              <w:jc w:val="center"/>
              <w:rPr>
                <w:rFonts w:ascii="Arial" w:hAnsi="Arial" w:cs="Arial"/>
                <w:b/>
                <w:color w:val="000000"/>
              </w:rPr>
            </w:pPr>
          </w:p>
        </w:tc>
        <w:tc>
          <w:tcPr>
            <w:tcW w:w="4230" w:type="dxa"/>
          </w:tcPr>
          <w:p w:rsidR="00AC0474" w:rsidRPr="00996EDD" w:rsidRDefault="00AC0474" w:rsidP="0060257A">
            <w:pPr>
              <w:jc w:val="center"/>
              <w:rPr>
                <w:rFonts w:ascii="Arial" w:hAnsi="Arial" w:cs="Arial"/>
                <w:b/>
                <w:color w:val="000000"/>
              </w:rPr>
            </w:pPr>
            <w:r w:rsidRPr="00996EDD">
              <w:rPr>
                <w:rFonts w:ascii="Arial" w:hAnsi="Arial" w:cs="Arial"/>
                <w:b/>
                <w:color w:val="000000"/>
                <w:u w:val="single"/>
              </w:rPr>
              <w:t>Industrial/Commercial</w:t>
            </w:r>
          </w:p>
        </w:tc>
      </w:tr>
      <w:tr w:rsidR="00AC0474" w:rsidRPr="00996EDD" w:rsidTr="0060257A">
        <w:tc>
          <w:tcPr>
            <w:tcW w:w="4410" w:type="dxa"/>
          </w:tcPr>
          <w:p w:rsidR="00AC0474" w:rsidRPr="00996EDD" w:rsidRDefault="00AC0474" w:rsidP="0060257A">
            <w:pPr>
              <w:jc w:val="center"/>
              <w:rPr>
                <w:rFonts w:ascii="Arial" w:hAnsi="Arial" w:cs="Arial"/>
                <w:color w:val="000000"/>
              </w:rPr>
            </w:pPr>
            <w:r>
              <w:rPr>
                <w:rFonts w:ascii="Arial" w:hAnsi="Arial" w:cs="Arial"/>
                <w:color w:val="000000"/>
              </w:rPr>
              <w:t xml:space="preserve">8,000 </w:t>
            </w:r>
            <w:r w:rsidRPr="00996EDD">
              <w:rPr>
                <w:rFonts w:ascii="Arial" w:hAnsi="Arial" w:cs="Arial"/>
                <w:color w:val="000000"/>
              </w:rPr>
              <w:t>units*</w:t>
            </w:r>
            <w:r>
              <w:rPr>
                <w:rFonts w:ascii="Arial" w:hAnsi="Arial" w:cs="Arial"/>
                <w:color w:val="000000"/>
              </w:rPr>
              <w:t xml:space="preserve"> </w:t>
            </w:r>
          </w:p>
          <w:p w:rsidR="00AC0474" w:rsidRPr="00996EDD" w:rsidRDefault="00AC0474" w:rsidP="0060257A">
            <w:pPr>
              <w:jc w:val="center"/>
              <w:rPr>
                <w:rFonts w:ascii="Arial" w:hAnsi="Arial" w:cs="Arial"/>
                <w:color w:val="FF0000"/>
              </w:rPr>
            </w:pPr>
            <w:r w:rsidRPr="00996EDD">
              <w:rPr>
                <w:rFonts w:ascii="Arial" w:hAnsi="Arial" w:cs="Arial"/>
                <w:color w:val="000000"/>
              </w:rPr>
              <w:t>(</w:t>
            </w:r>
            <w:r>
              <w:rPr>
                <w:rFonts w:ascii="Arial" w:hAnsi="Arial" w:cs="Arial"/>
                <w:color w:val="000000"/>
              </w:rPr>
              <w:t xml:space="preserve">680, 000 </w:t>
            </w:r>
            <w:r w:rsidRPr="00996EDD">
              <w:rPr>
                <w:rFonts w:ascii="Arial" w:hAnsi="Arial" w:cs="Arial"/>
                <w:color w:val="000000"/>
              </w:rPr>
              <w:t>sq</w:t>
            </w:r>
            <w:r>
              <w:rPr>
                <w:rFonts w:ascii="Arial" w:hAnsi="Arial" w:cs="Arial"/>
                <w:color w:val="000000"/>
              </w:rPr>
              <w:t xml:space="preserve">. </w:t>
            </w:r>
            <w:r w:rsidRPr="00996EDD">
              <w:rPr>
                <w:rFonts w:ascii="Arial" w:hAnsi="Arial" w:cs="Arial"/>
                <w:color w:val="000000"/>
              </w:rPr>
              <w:t>m)</w:t>
            </w:r>
          </w:p>
        </w:tc>
        <w:tc>
          <w:tcPr>
            <w:tcW w:w="4230" w:type="dxa"/>
          </w:tcPr>
          <w:p w:rsidR="00AC0474" w:rsidRPr="00996EDD" w:rsidRDefault="00AC0474" w:rsidP="0060257A">
            <w:pPr>
              <w:jc w:val="center"/>
              <w:rPr>
                <w:rFonts w:ascii="Arial" w:hAnsi="Arial" w:cs="Arial"/>
                <w:color w:val="000000"/>
              </w:rPr>
            </w:pPr>
            <w:r>
              <w:rPr>
                <w:rFonts w:ascii="Arial" w:hAnsi="Arial" w:cs="Arial"/>
                <w:color w:val="000000"/>
              </w:rPr>
              <w:t>700, 000</w:t>
            </w:r>
            <w:r w:rsidRPr="00996EDD">
              <w:rPr>
                <w:rFonts w:ascii="Arial" w:hAnsi="Arial" w:cs="Arial"/>
                <w:color w:val="000000"/>
              </w:rPr>
              <w:t>sq</w:t>
            </w:r>
            <w:r>
              <w:rPr>
                <w:rFonts w:ascii="Arial" w:hAnsi="Arial" w:cs="Arial"/>
                <w:color w:val="000000"/>
              </w:rPr>
              <w:t xml:space="preserve">. </w:t>
            </w:r>
            <w:r w:rsidRPr="00996EDD">
              <w:rPr>
                <w:rFonts w:ascii="Arial" w:hAnsi="Arial" w:cs="Arial"/>
                <w:color w:val="000000"/>
              </w:rPr>
              <w:t>m</w:t>
            </w:r>
          </w:p>
        </w:tc>
      </w:tr>
    </w:tbl>
    <w:p w:rsidR="00AC0474" w:rsidRPr="00996EDD" w:rsidRDefault="00AC0474" w:rsidP="00AC0474">
      <w:pPr>
        <w:jc w:val="both"/>
        <w:rPr>
          <w:rFonts w:ascii="Arial" w:hAnsi="Arial" w:cs="Arial"/>
          <w:color w:val="000000"/>
        </w:rPr>
      </w:pPr>
    </w:p>
    <w:p w:rsidR="00AC0474" w:rsidRDefault="00AC0474" w:rsidP="00AC0474">
      <w:pPr>
        <w:rPr>
          <w:rFonts w:ascii="Arial" w:hAnsi="Arial" w:cs="Arial"/>
          <w:color w:val="000000"/>
        </w:rPr>
      </w:pPr>
      <w:r w:rsidRPr="00996EDD">
        <w:rPr>
          <w:rFonts w:ascii="Arial" w:hAnsi="Arial" w:cs="Arial"/>
          <w:color w:val="000000"/>
        </w:rPr>
        <w:t>*excludes social housing</w:t>
      </w:r>
    </w:p>
    <w:tbl>
      <w:tblPr>
        <w:tblW w:w="9580" w:type="dxa"/>
        <w:tblInd w:w="108" w:type="dxa"/>
        <w:tblLook w:val="04A0" w:firstRow="1" w:lastRow="0" w:firstColumn="1" w:lastColumn="0" w:noHBand="0" w:noVBand="1"/>
      </w:tblPr>
      <w:tblGrid>
        <w:gridCol w:w="1080"/>
        <w:gridCol w:w="620"/>
        <w:gridCol w:w="7880"/>
      </w:tblGrid>
      <w:tr w:rsidR="00AC0474" w:rsidRPr="001C46E9" w:rsidTr="0060257A">
        <w:trPr>
          <w:trHeight w:val="300"/>
        </w:trPr>
        <w:tc>
          <w:tcPr>
            <w:tcW w:w="1080" w:type="dxa"/>
            <w:tcBorders>
              <w:top w:val="nil"/>
              <w:left w:val="nil"/>
              <w:bottom w:val="nil"/>
              <w:right w:val="nil"/>
            </w:tcBorders>
            <w:shd w:val="clear" w:color="auto" w:fill="auto"/>
            <w:noWrap/>
            <w:vAlign w:val="bottom"/>
          </w:tcPr>
          <w:p w:rsidR="00AC0474" w:rsidRPr="001C46E9" w:rsidRDefault="00AC0474" w:rsidP="0060257A">
            <w:pPr>
              <w:rPr>
                <w:sz w:val="20"/>
                <w:szCs w:val="24"/>
                <w:lang w:eastAsia="en-IE"/>
              </w:rPr>
            </w:pPr>
          </w:p>
        </w:tc>
        <w:tc>
          <w:tcPr>
            <w:tcW w:w="620" w:type="dxa"/>
            <w:tcBorders>
              <w:top w:val="nil"/>
              <w:left w:val="nil"/>
              <w:bottom w:val="nil"/>
              <w:right w:val="nil"/>
            </w:tcBorders>
            <w:shd w:val="clear" w:color="auto" w:fill="auto"/>
            <w:noWrap/>
            <w:vAlign w:val="bottom"/>
            <w:hideMark/>
          </w:tcPr>
          <w:p w:rsidR="00AC0474" w:rsidRPr="001C46E9" w:rsidRDefault="00AC0474" w:rsidP="0060257A">
            <w:pPr>
              <w:jc w:val="center"/>
              <w:rPr>
                <w:sz w:val="20"/>
                <w:lang w:eastAsia="en-IE"/>
              </w:rPr>
            </w:pPr>
          </w:p>
        </w:tc>
        <w:tc>
          <w:tcPr>
            <w:tcW w:w="7880" w:type="dxa"/>
            <w:tcBorders>
              <w:top w:val="nil"/>
              <w:left w:val="nil"/>
              <w:bottom w:val="nil"/>
              <w:right w:val="nil"/>
            </w:tcBorders>
            <w:shd w:val="clear" w:color="auto" w:fill="auto"/>
            <w:noWrap/>
            <w:vAlign w:val="bottom"/>
            <w:hideMark/>
          </w:tcPr>
          <w:p w:rsidR="00AC0474" w:rsidRDefault="00AC0474" w:rsidP="0060257A">
            <w:pPr>
              <w:rPr>
                <w:rFonts w:ascii="Arial" w:hAnsi="Arial" w:cs="Arial"/>
                <w:b/>
                <w:bCs/>
                <w:color w:val="000000"/>
                <w:lang w:eastAsia="en-IE"/>
              </w:rPr>
            </w:pPr>
          </w:p>
          <w:p w:rsidR="00AC0474" w:rsidRDefault="00AC0474" w:rsidP="0060257A">
            <w:pPr>
              <w:rPr>
                <w:rFonts w:ascii="Arial" w:hAnsi="Arial" w:cs="Arial"/>
                <w:b/>
                <w:bCs/>
                <w:color w:val="000000"/>
                <w:lang w:eastAsia="en-IE"/>
              </w:rPr>
            </w:pPr>
          </w:p>
          <w:p w:rsidR="00AC0474" w:rsidRPr="001C46E9" w:rsidRDefault="00AC0474" w:rsidP="00AC0474">
            <w:pPr>
              <w:rPr>
                <w:rFonts w:ascii="Arial" w:hAnsi="Arial" w:cs="Arial"/>
                <w:b/>
                <w:bCs/>
                <w:color w:val="000000"/>
                <w:lang w:eastAsia="en-IE"/>
              </w:rPr>
            </w:pPr>
            <w:r>
              <w:rPr>
                <w:rFonts w:ascii="Arial" w:hAnsi="Arial" w:cs="Arial"/>
                <w:b/>
                <w:bCs/>
                <w:color w:val="000000"/>
                <w:lang w:eastAsia="en-IE"/>
              </w:rPr>
              <w:t>A</w:t>
            </w:r>
            <w:r w:rsidRPr="001C46E9">
              <w:rPr>
                <w:rFonts w:ascii="Arial" w:hAnsi="Arial" w:cs="Arial"/>
                <w:b/>
                <w:bCs/>
                <w:color w:val="000000"/>
                <w:lang w:eastAsia="en-IE"/>
              </w:rPr>
              <w:t>PPENDIX II – PROJECT LIST</w:t>
            </w:r>
          </w:p>
        </w:tc>
      </w:tr>
      <w:tr w:rsidR="00AC0474" w:rsidRPr="001C46E9" w:rsidTr="0060257A">
        <w:trPr>
          <w:trHeight w:val="300"/>
        </w:trPr>
        <w:tc>
          <w:tcPr>
            <w:tcW w:w="1080" w:type="dxa"/>
            <w:tcBorders>
              <w:top w:val="nil"/>
              <w:left w:val="nil"/>
              <w:bottom w:val="nil"/>
              <w:right w:val="nil"/>
            </w:tcBorders>
            <w:shd w:val="clear" w:color="auto" w:fill="auto"/>
            <w:noWrap/>
            <w:vAlign w:val="bottom"/>
          </w:tcPr>
          <w:p w:rsidR="00AC0474" w:rsidRPr="001C46E9" w:rsidRDefault="00AC0474" w:rsidP="0060257A">
            <w:pPr>
              <w:rPr>
                <w:rFonts w:ascii="Arial" w:hAnsi="Arial" w:cs="Arial"/>
                <w:b/>
                <w:bCs/>
                <w:color w:val="000000"/>
                <w:lang w:eastAsia="en-IE"/>
              </w:rPr>
            </w:pPr>
          </w:p>
        </w:tc>
        <w:tc>
          <w:tcPr>
            <w:tcW w:w="620" w:type="dxa"/>
            <w:tcBorders>
              <w:top w:val="nil"/>
              <w:left w:val="nil"/>
              <w:bottom w:val="nil"/>
              <w:right w:val="nil"/>
            </w:tcBorders>
            <w:shd w:val="clear" w:color="auto" w:fill="auto"/>
            <w:noWrap/>
            <w:vAlign w:val="bottom"/>
            <w:hideMark/>
          </w:tcPr>
          <w:p w:rsidR="00AC0474" w:rsidRPr="001C46E9" w:rsidRDefault="00AC0474" w:rsidP="0060257A">
            <w:pPr>
              <w:jc w:val="center"/>
              <w:rPr>
                <w:sz w:val="20"/>
                <w:lang w:eastAsia="en-IE"/>
              </w:rPr>
            </w:pPr>
          </w:p>
        </w:tc>
        <w:tc>
          <w:tcPr>
            <w:tcW w:w="7880" w:type="dxa"/>
            <w:tcBorders>
              <w:top w:val="nil"/>
              <w:left w:val="nil"/>
              <w:bottom w:val="nil"/>
              <w:right w:val="nil"/>
            </w:tcBorders>
            <w:shd w:val="clear" w:color="auto" w:fill="auto"/>
            <w:noWrap/>
            <w:vAlign w:val="bottom"/>
            <w:hideMark/>
          </w:tcPr>
          <w:p w:rsidR="00AC0474" w:rsidRPr="001C46E9" w:rsidRDefault="00AC0474" w:rsidP="0060257A">
            <w:pPr>
              <w:rPr>
                <w:sz w:val="20"/>
                <w:lang w:eastAsia="en-IE"/>
              </w:rPr>
            </w:pPr>
          </w:p>
        </w:tc>
      </w:tr>
    </w:tbl>
    <w:p w:rsidR="00AC0474" w:rsidRPr="00BF7440" w:rsidRDefault="00AC0474" w:rsidP="00AC0474">
      <w:pPr>
        <w:pStyle w:val="BodyText"/>
        <w:rPr>
          <w:rFonts w:ascii="Book Antiqua" w:hAnsi="Book Antiqua" w:cs="Arial"/>
          <w:b/>
        </w:rPr>
      </w:pPr>
      <w:r w:rsidRPr="00BF7440">
        <w:rPr>
          <w:rFonts w:ascii="Book Antiqua" w:hAnsi="Book Antiqua"/>
          <w:b/>
        </w:rPr>
        <w:t>CLASS 1: RO</w:t>
      </w:r>
      <w:r>
        <w:rPr>
          <w:rFonts w:ascii="Book Antiqua" w:hAnsi="Book Antiqua"/>
          <w:b/>
        </w:rPr>
        <w:t>ADS INFRASTRUCTURE &amp; FACILITIES</w:t>
      </w:r>
    </w:p>
    <w:p w:rsidR="00AC0474" w:rsidRPr="00EE0C37" w:rsidRDefault="00AC0474" w:rsidP="00AC0474">
      <w:pPr>
        <w:pStyle w:val="BodyText"/>
        <w:numPr>
          <w:ilvl w:val="0"/>
          <w:numId w:val="1"/>
        </w:numPr>
        <w:spacing w:after="0" w:line="240" w:lineRule="auto"/>
        <w:ind w:hanging="76"/>
        <w:rPr>
          <w:rFonts w:ascii="Book Antiqua" w:hAnsi="Book Antiqua" w:cs="Arial"/>
        </w:rPr>
      </w:pPr>
      <w:r w:rsidRPr="00EE0C37">
        <w:rPr>
          <w:rFonts w:ascii="Book Antiqua" w:hAnsi="Book Antiqua" w:cs="Arial"/>
        </w:rPr>
        <w:t>Ballymun Sillogue Infrastructure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Belmayne Main Street &amp; Belmayne Avenue Scheme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Carton Terrace / Balbutcher  Junction</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Refurbishment Of Footpaths</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Refurbishment Of Carriageways</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Luas Associated Projects</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Overhead Network Project Upgrade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Lighting Infrastructure Project</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Dodder Public Transport Opening Bridge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Bloodstoney Bridge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Grafton Street Quarter</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Duke Street/Sth Anne Street Improvement Scheme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Liffe</w:t>
      </w:r>
      <w:r>
        <w:rPr>
          <w:rFonts w:ascii="Book Antiqua" w:hAnsi="Book Antiqua" w:cs="Arial"/>
        </w:rPr>
        <w:t>y</w:t>
      </w:r>
      <w:r w:rsidRPr="00EE0C37">
        <w:rPr>
          <w:rFonts w:ascii="Book Antiqua" w:hAnsi="Book Antiqua" w:cs="Arial"/>
        </w:rPr>
        <w:t xml:space="preserve"> Street Improvements</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Mary Street Improvements</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Clarendon Row Improvement Scheme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Barrow Street</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Sean Moore Road Upgrade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cs="Arial"/>
        </w:rPr>
        <w:t>Samuel Beckett Bridge Led Lights Upgrade</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rPr>
        <w:t>Docklands Public Realm</w:t>
      </w:r>
    </w:p>
    <w:p w:rsidR="00AC0474" w:rsidRPr="00EE0C37" w:rsidRDefault="00AC0474" w:rsidP="00AC0474">
      <w:pPr>
        <w:pStyle w:val="BodyText"/>
        <w:numPr>
          <w:ilvl w:val="0"/>
          <w:numId w:val="1"/>
        </w:numPr>
        <w:spacing w:after="0" w:line="240" w:lineRule="auto"/>
        <w:ind w:hanging="76"/>
        <w:rPr>
          <w:rFonts w:ascii="Book Antiqua" w:hAnsi="Book Antiqua"/>
        </w:rPr>
      </w:pPr>
      <w:r w:rsidRPr="00EE0C37">
        <w:rPr>
          <w:rFonts w:ascii="Book Antiqua" w:hAnsi="Book Antiqua"/>
        </w:rPr>
        <w:t>Milltown Dodder Valley Car Park</w:t>
      </w:r>
    </w:p>
    <w:p w:rsidR="00AC0474" w:rsidRDefault="00AC0474" w:rsidP="00AC0474">
      <w:pPr>
        <w:pStyle w:val="BodyText"/>
        <w:rPr>
          <w:rFonts w:ascii="Book Antiqua" w:hAnsi="Book Antiqua"/>
          <w:sz w:val="24"/>
          <w:szCs w:val="24"/>
        </w:rPr>
      </w:pPr>
    </w:p>
    <w:p w:rsidR="00AC0474" w:rsidRPr="00BF7440" w:rsidRDefault="00AC0474" w:rsidP="00AC0474">
      <w:pPr>
        <w:pStyle w:val="BodyText"/>
        <w:rPr>
          <w:rFonts w:ascii="Book Antiqua" w:hAnsi="Book Antiqua" w:cs="Arial"/>
          <w:b/>
        </w:rPr>
      </w:pPr>
      <w:r w:rsidRPr="00BF7440">
        <w:rPr>
          <w:rFonts w:ascii="Book Antiqua" w:hAnsi="Book Antiqua"/>
          <w:b/>
        </w:rPr>
        <w:t xml:space="preserve">CLASS II DRAINAGE </w:t>
      </w:r>
      <w:r w:rsidRPr="00BF7440">
        <w:rPr>
          <w:rFonts w:ascii="Book Antiqua" w:hAnsi="Book Antiqua" w:cs="Arial"/>
          <w:b/>
        </w:rPr>
        <w:t>(SURFACE WATER) INFRASTRUCTURE &amp; FACILITES</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Dublin Forecasting &amp; Flood Warning System</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S25 Phase 1 - Kilbarrack To Liffey,  Dollymount &amp; Bull Island</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S25 Phase 2 – Liffey To Sandymount ( South City Flood Defences)</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Flood Emergency Works &amp; Flood Repairs</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Clontarf Flood Defence Project </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Implementing Flood Resilient City Outcomes</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Lower River Dodder Flood Alleviation Scheme (Phase 2)</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Campshires Flood Protection Project</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River Wad Clanmoyle Road Flood Alleviation Scheme </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River Poddle Flood Alleviation Scheme</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European Union Inflater Project</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Flood Alleviation  Fleet</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Culvert Improvement Works Screen Upgrade Works</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Water Framework Directive (WFD) Office</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Surface Water Asset Management System</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Grand Canal Basin Amenity &amp; Water Quality Project </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Camac Flood Alleviation Scheme</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River Dodder Flood Alleviation Scheme Phase 3</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lastRenderedPageBreak/>
        <w:t>Santry River Restoration &amp; Greenway Project</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Santry River Flood Protection Phase 2 &amp; 3</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Surface Water Network Improvement Works</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Sustainable Drainage Projects (Wetlands, Swales &amp; Green Infrastructure)</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Small Stream Improvement Works/Recommendation In GSDS</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Flood Defence Inspection Scheme</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South Campshire-SDZ Sir John Rogerson’s Quay</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North Campshire Flood Defence Future Climate Change</w:t>
      </w:r>
    </w:p>
    <w:p w:rsidR="00AC0474" w:rsidRDefault="00AC0474" w:rsidP="00AC0474">
      <w:pPr>
        <w:pStyle w:val="BodyText"/>
        <w:numPr>
          <w:ilvl w:val="0"/>
          <w:numId w:val="11"/>
        </w:numPr>
        <w:spacing w:after="0" w:line="240" w:lineRule="auto"/>
        <w:rPr>
          <w:rFonts w:ascii="Book Antiqua" w:hAnsi="Book Antiqua"/>
        </w:rPr>
      </w:pPr>
      <w:r>
        <w:rPr>
          <w:rFonts w:ascii="Book Antiqua" w:hAnsi="Book Antiqua"/>
        </w:rPr>
        <w:t xml:space="preserve">Suds Projects To Support New Development Plan Policies </w:t>
      </w:r>
    </w:p>
    <w:p w:rsidR="00AC0474" w:rsidRDefault="00AC0474" w:rsidP="00AC0474">
      <w:pPr>
        <w:pStyle w:val="BodyText"/>
        <w:rPr>
          <w:rFonts w:ascii="Book Antiqua" w:hAnsi="Book Antiqua"/>
        </w:rPr>
      </w:pPr>
    </w:p>
    <w:p w:rsidR="00AC0474" w:rsidRPr="00BF7440" w:rsidRDefault="00AC0474" w:rsidP="00AC0474">
      <w:pPr>
        <w:rPr>
          <w:rFonts w:ascii="Book Antiqua" w:hAnsi="Book Antiqua" w:cs="Arial"/>
          <w:b/>
        </w:rPr>
      </w:pPr>
      <w:r w:rsidRPr="00BF7440">
        <w:rPr>
          <w:rFonts w:ascii="Book Antiqua" w:hAnsi="Book Antiqua" w:cs="Arial"/>
          <w:b/>
        </w:rPr>
        <w:t>CLASS 3: PARKS &amp; OPEN SPACE FACILITIES &amp; AMENITIES</w:t>
      </w:r>
    </w:p>
    <w:p w:rsidR="00AC0474" w:rsidRPr="005826AB" w:rsidRDefault="00AC0474" w:rsidP="00AC0474">
      <w:pPr>
        <w:numPr>
          <w:ilvl w:val="0"/>
          <w:numId w:val="12"/>
        </w:numPr>
        <w:spacing w:after="0" w:line="240" w:lineRule="auto"/>
        <w:rPr>
          <w:rFonts w:ascii="Book Antiqua" w:hAnsi="Book Antiqua" w:cs="Arial"/>
        </w:rPr>
      </w:pPr>
      <w:r>
        <w:rPr>
          <w:rFonts w:ascii="Arial" w:hAnsi="Arial" w:cs="Arial"/>
        </w:rPr>
        <w:t>St</w:t>
      </w:r>
      <w:r w:rsidRPr="005826AB">
        <w:rPr>
          <w:rFonts w:ascii="Book Antiqua" w:hAnsi="Book Antiqua" w:cs="Arial"/>
        </w:rPr>
        <w:t>. Anne</w:t>
      </w:r>
      <w:r>
        <w:rPr>
          <w:rFonts w:ascii="Book Antiqua" w:hAnsi="Book Antiqua" w:cs="Arial"/>
        </w:rPr>
        <w:t>’</w:t>
      </w:r>
      <w:r w:rsidRPr="005826AB">
        <w:rPr>
          <w:rFonts w:ascii="Book Antiqua" w:hAnsi="Book Antiqua" w:cs="Arial"/>
        </w:rPr>
        <w:t xml:space="preserve">s Park </w:t>
      </w:r>
    </w:p>
    <w:p w:rsidR="00AC0474" w:rsidRPr="005826AB" w:rsidRDefault="00AC0474" w:rsidP="00AC0474">
      <w:pPr>
        <w:numPr>
          <w:ilvl w:val="0"/>
          <w:numId w:val="12"/>
        </w:numPr>
        <w:spacing w:after="0" w:line="240" w:lineRule="auto"/>
        <w:rPr>
          <w:rFonts w:ascii="Book Antiqua" w:hAnsi="Book Antiqua" w:cs="Arial"/>
        </w:rPr>
      </w:pPr>
      <w:r w:rsidRPr="005826AB">
        <w:rPr>
          <w:rFonts w:ascii="Book Antiqua" w:hAnsi="Book Antiqua" w:cs="Arial"/>
        </w:rPr>
        <w:t>St. Anne</w:t>
      </w:r>
      <w:r>
        <w:rPr>
          <w:rFonts w:ascii="Book Antiqua" w:hAnsi="Book Antiqua" w:cs="Arial"/>
        </w:rPr>
        <w:t>’</w:t>
      </w:r>
      <w:r w:rsidRPr="005826AB">
        <w:rPr>
          <w:rFonts w:ascii="Book Antiqua" w:hAnsi="Book Antiqua" w:cs="Arial"/>
        </w:rPr>
        <w:t>s Park- Red Stable Refu</w:t>
      </w:r>
      <w:r>
        <w:rPr>
          <w:rFonts w:ascii="Book Antiqua" w:hAnsi="Book Antiqua" w:cs="Arial"/>
        </w:rPr>
        <w:t>r</w:t>
      </w:r>
      <w:r w:rsidRPr="005826AB">
        <w:rPr>
          <w:rFonts w:ascii="Book Antiqua" w:hAnsi="Book Antiqua" w:cs="Arial"/>
        </w:rPr>
        <w:t xml:space="preserve">bishment </w:t>
      </w:r>
    </w:p>
    <w:p w:rsidR="00AC0474" w:rsidRPr="005826AB" w:rsidRDefault="00AC0474" w:rsidP="00AC0474">
      <w:pPr>
        <w:numPr>
          <w:ilvl w:val="0"/>
          <w:numId w:val="12"/>
        </w:numPr>
        <w:spacing w:after="0" w:line="240" w:lineRule="auto"/>
        <w:rPr>
          <w:rFonts w:ascii="Book Antiqua" w:hAnsi="Book Antiqua" w:cs="Arial"/>
        </w:rPr>
      </w:pPr>
      <w:r w:rsidRPr="005826AB">
        <w:rPr>
          <w:rFonts w:ascii="Book Antiqua" w:hAnsi="Book Antiqua" w:cs="Arial"/>
        </w:rPr>
        <w:t>St. Anne</w:t>
      </w:r>
      <w:r>
        <w:rPr>
          <w:rFonts w:ascii="Book Antiqua" w:hAnsi="Book Antiqua" w:cs="Arial"/>
        </w:rPr>
        <w:t>’</w:t>
      </w:r>
      <w:r w:rsidRPr="005826AB">
        <w:rPr>
          <w:rFonts w:ascii="Book Antiqua" w:hAnsi="Book Antiqua" w:cs="Arial"/>
        </w:rPr>
        <w:t xml:space="preserve">s Park – Overflow Carpark &amp; Two </w:t>
      </w:r>
      <w:r>
        <w:rPr>
          <w:rFonts w:ascii="Book Antiqua" w:hAnsi="Book Antiqua" w:cs="Arial"/>
        </w:rPr>
        <w:t>( 2) Pavi</w:t>
      </w:r>
      <w:r w:rsidRPr="005826AB">
        <w:rPr>
          <w:rFonts w:ascii="Book Antiqua" w:hAnsi="Book Antiqua" w:cs="Arial"/>
        </w:rPr>
        <w:t>lions</w:t>
      </w:r>
    </w:p>
    <w:p w:rsidR="00AC0474" w:rsidRPr="005826AB" w:rsidRDefault="00AC0474" w:rsidP="00AC0474">
      <w:pPr>
        <w:numPr>
          <w:ilvl w:val="0"/>
          <w:numId w:val="12"/>
        </w:numPr>
        <w:spacing w:after="0" w:line="240" w:lineRule="auto"/>
        <w:rPr>
          <w:rFonts w:ascii="Book Antiqua" w:hAnsi="Book Antiqua" w:cs="Arial"/>
        </w:rPr>
      </w:pPr>
      <w:r w:rsidRPr="005826AB">
        <w:rPr>
          <w:rFonts w:ascii="Book Antiqua" w:hAnsi="Book Antiqua" w:cs="Arial"/>
        </w:rPr>
        <w:t>Bull Island</w:t>
      </w:r>
    </w:p>
    <w:p w:rsidR="00AC0474" w:rsidRDefault="00AC0474" w:rsidP="00AC0474">
      <w:pPr>
        <w:numPr>
          <w:ilvl w:val="0"/>
          <w:numId w:val="12"/>
        </w:numPr>
        <w:spacing w:after="0" w:line="240" w:lineRule="auto"/>
        <w:rPr>
          <w:rFonts w:ascii="Book Antiqua" w:hAnsi="Book Antiqua" w:cs="Arial"/>
        </w:rPr>
      </w:pPr>
      <w:r w:rsidRPr="005826AB">
        <w:rPr>
          <w:rFonts w:ascii="Book Antiqua" w:hAnsi="Book Antiqua" w:cs="Arial"/>
        </w:rPr>
        <w:t>Community Park Improvement Scheme</w:t>
      </w:r>
    </w:p>
    <w:p w:rsidR="00AC0474" w:rsidRDefault="00AC0474" w:rsidP="00AC0474">
      <w:pPr>
        <w:numPr>
          <w:ilvl w:val="0"/>
          <w:numId w:val="12"/>
        </w:numPr>
        <w:spacing w:after="0" w:line="240" w:lineRule="auto"/>
        <w:rPr>
          <w:rFonts w:ascii="Book Antiqua" w:hAnsi="Book Antiqua" w:cs="Arial"/>
        </w:rPr>
      </w:pPr>
      <w:r>
        <w:rPr>
          <w:rFonts w:ascii="Book Antiqua" w:hAnsi="Book Antiqua" w:cs="Arial"/>
        </w:rPr>
        <w:t>Liffey Vale, Liffey Valley Park</w:t>
      </w:r>
    </w:p>
    <w:p w:rsidR="00AC0474" w:rsidRDefault="00AC0474" w:rsidP="00AC0474">
      <w:pPr>
        <w:numPr>
          <w:ilvl w:val="0"/>
          <w:numId w:val="12"/>
        </w:numPr>
        <w:spacing w:after="0" w:line="240" w:lineRule="auto"/>
        <w:rPr>
          <w:rFonts w:ascii="Book Antiqua" w:hAnsi="Book Antiqua" w:cs="Arial"/>
        </w:rPr>
      </w:pPr>
      <w:r>
        <w:rPr>
          <w:rFonts w:ascii="Book Antiqua" w:hAnsi="Book Antiqua" w:cs="Arial"/>
        </w:rPr>
        <w:t>Dublin Bay Discovery Centre- Bull Island</w:t>
      </w:r>
    </w:p>
    <w:p w:rsidR="00AC0474" w:rsidRPr="005826AB" w:rsidRDefault="00AC0474" w:rsidP="00AC0474">
      <w:pPr>
        <w:numPr>
          <w:ilvl w:val="0"/>
          <w:numId w:val="12"/>
        </w:numPr>
        <w:spacing w:after="0" w:line="240" w:lineRule="auto"/>
        <w:rPr>
          <w:rFonts w:ascii="Book Antiqua" w:hAnsi="Book Antiqua" w:cs="Arial"/>
        </w:rPr>
      </w:pPr>
      <w:r>
        <w:rPr>
          <w:rFonts w:ascii="Book Antiqua" w:hAnsi="Book Antiqua" w:cs="Arial"/>
        </w:rPr>
        <w:t>Sculpture  Dublin</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St. James’s Walk Linear Walk</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Peoples Park Ballyfermot</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Kildonan Park</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Bridgefoot Street Park</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Edenmore Park</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Ventry Park</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Cherry Orchard Park </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Ballymun Park</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Martin Savage Park</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Merrion Square Tea Rooms</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Blessington Street Basin  Tea Rooms</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Palmerston Park Tea Room</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Sandymount Container Café</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Mountjoy Square Conservation Plan </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Merrion Square Conservation Plan </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 xml:space="preserve">Herbert Park Conservation Plan </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Conservation Works</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Cemeteries Burial Place Strategy</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Jewish Cemetery Ballybough</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St. Nicholas Within Church (Ruins)</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Depot Improvement Programme</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Eamonn Ceannt Depot</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Parks Playground</w:t>
      </w:r>
    </w:p>
    <w:p w:rsidR="00AC0474" w:rsidRDefault="00AC0474" w:rsidP="00AC0474">
      <w:pPr>
        <w:pStyle w:val="BodyText"/>
        <w:numPr>
          <w:ilvl w:val="0"/>
          <w:numId w:val="12"/>
        </w:numPr>
        <w:spacing w:after="0" w:line="240" w:lineRule="auto"/>
        <w:rPr>
          <w:rFonts w:ascii="Book Antiqua" w:hAnsi="Book Antiqua"/>
        </w:rPr>
      </w:pPr>
      <w:r>
        <w:rPr>
          <w:rFonts w:ascii="Book Antiqua" w:hAnsi="Book Antiqua"/>
        </w:rPr>
        <w:t>Pitch Drainage</w:t>
      </w:r>
    </w:p>
    <w:p w:rsidR="00AC0474" w:rsidRDefault="00AC0474" w:rsidP="00AC0474">
      <w:pPr>
        <w:pStyle w:val="BodyText"/>
        <w:rPr>
          <w:rFonts w:ascii="Book Antiqua" w:hAnsi="Book Antiqua"/>
        </w:rPr>
      </w:pPr>
    </w:p>
    <w:p w:rsidR="00AC0474" w:rsidRPr="00BF7440" w:rsidRDefault="00AC0474" w:rsidP="00AC0474">
      <w:pPr>
        <w:rPr>
          <w:rFonts w:ascii="Book Antiqua" w:hAnsi="Book Antiqua" w:cs="Arial"/>
          <w:b/>
        </w:rPr>
      </w:pPr>
      <w:r w:rsidRPr="00BF7440">
        <w:rPr>
          <w:rFonts w:ascii="Book Antiqua" w:hAnsi="Book Antiqua" w:cs="Arial"/>
          <w:b/>
        </w:rPr>
        <w:t xml:space="preserve">CLASS 4: COMMUNITY FACILITIES &amp; AMENITIES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Constitution Hill Regeneration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Dorset Street Demolition &amp; New Build – Regeneration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lastRenderedPageBreak/>
        <w:t>Liberties Cluster</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Upgrade Of Community Facilities</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Community Facilities Plan</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Community Recreation Centres  Programmes Of Works</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Northside Swimming Pool Extension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Ballyfermot Leisure Centre Gym Extension</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Irishtown Stadium Improvements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Energy Management Programme</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Refurbishment  Of Ballymun Sport &amp; Fitness Centre</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Municipal Rowing Centre Extension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Aughrim Street Sports Hall Extension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Clontarf Eleven ( 11) Aside All Weather Pitch Carpet</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 Poppintree Refurbishment Centre Refurbishment Works</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Kilmore Recreation Centre</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East Wall Recreation Centre &amp; Playground</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St. Catherine’s Sports &amp; Community Centre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Swan Centre Rathmines Refurbishment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Darndale Recreation Centre </w:t>
      </w:r>
    </w:p>
    <w:p w:rsidR="00AC0474" w:rsidRDefault="00AC0474" w:rsidP="00AC0474">
      <w:pPr>
        <w:numPr>
          <w:ilvl w:val="0"/>
          <w:numId w:val="13"/>
        </w:numPr>
        <w:spacing w:after="0" w:line="240" w:lineRule="auto"/>
        <w:rPr>
          <w:rFonts w:ascii="Book Antiqua" w:hAnsi="Book Antiqua" w:cs="Arial"/>
        </w:rPr>
      </w:pPr>
      <w:r>
        <w:rPr>
          <w:rFonts w:ascii="Book Antiqua" w:hAnsi="Book Antiqua" w:cs="Arial"/>
        </w:rPr>
        <w:t xml:space="preserve">Gloucester  Street Community Centre </w:t>
      </w:r>
    </w:p>
    <w:p w:rsidR="00AC0474" w:rsidRPr="000F5570" w:rsidRDefault="00AC0474" w:rsidP="00AC0474">
      <w:pPr>
        <w:numPr>
          <w:ilvl w:val="0"/>
          <w:numId w:val="13"/>
        </w:numPr>
        <w:spacing w:after="0" w:line="240" w:lineRule="auto"/>
        <w:rPr>
          <w:rFonts w:ascii="Book Antiqua" w:hAnsi="Book Antiqua"/>
        </w:rPr>
      </w:pPr>
      <w:r w:rsidRPr="000F5570">
        <w:rPr>
          <w:rFonts w:ascii="Book Antiqua" w:hAnsi="Book Antiqua" w:cs="Arial"/>
        </w:rPr>
        <w:t>Se</w:t>
      </w:r>
      <w:r>
        <w:rPr>
          <w:rFonts w:ascii="Book Antiqua" w:hAnsi="Book Antiqua" w:cs="Arial"/>
        </w:rPr>
        <w:t>an McD</w:t>
      </w:r>
      <w:r w:rsidRPr="000F5570">
        <w:rPr>
          <w:rFonts w:ascii="Book Antiqua" w:hAnsi="Book Antiqua" w:cs="Arial"/>
        </w:rPr>
        <w:t>ermott Street Swimming Pool</w:t>
      </w:r>
    </w:p>
    <w:p w:rsidR="00AC0474" w:rsidRPr="000F5570" w:rsidRDefault="00AC0474" w:rsidP="00AC0474">
      <w:pPr>
        <w:numPr>
          <w:ilvl w:val="0"/>
          <w:numId w:val="13"/>
        </w:numPr>
        <w:spacing w:after="0" w:line="240" w:lineRule="auto"/>
        <w:rPr>
          <w:rFonts w:ascii="Book Antiqua" w:hAnsi="Book Antiqua"/>
        </w:rPr>
      </w:pPr>
      <w:r w:rsidRPr="000F5570">
        <w:rPr>
          <w:rFonts w:ascii="Book Antiqua" w:hAnsi="Book Antiqua" w:cs="Arial"/>
        </w:rPr>
        <w:t>Irish</w:t>
      </w:r>
      <w:r>
        <w:rPr>
          <w:rFonts w:ascii="Book Antiqua" w:hAnsi="Book Antiqua" w:cs="Arial"/>
        </w:rPr>
        <w:t>town Stadium Track Resurface</w:t>
      </w:r>
    </w:p>
    <w:p w:rsidR="00AC0474" w:rsidRPr="000F5570" w:rsidRDefault="00AC0474" w:rsidP="00AC0474">
      <w:pPr>
        <w:numPr>
          <w:ilvl w:val="0"/>
          <w:numId w:val="13"/>
        </w:numPr>
        <w:spacing w:after="0" w:line="240" w:lineRule="auto"/>
        <w:rPr>
          <w:rFonts w:ascii="Book Antiqua" w:hAnsi="Book Antiqua"/>
        </w:rPr>
      </w:pPr>
      <w:r>
        <w:rPr>
          <w:rFonts w:ascii="Book Antiqua" w:hAnsi="Book Antiqua" w:cs="Arial"/>
        </w:rPr>
        <w:t>The Connected City (Libraries It Project)</w:t>
      </w:r>
    </w:p>
    <w:p w:rsidR="00AC0474" w:rsidRPr="000F5570" w:rsidRDefault="00AC0474" w:rsidP="00AC0474">
      <w:pPr>
        <w:numPr>
          <w:ilvl w:val="0"/>
          <w:numId w:val="13"/>
        </w:numPr>
        <w:spacing w:after="0" w:line="240" w:lineRule="auto"/>
        <w:rPr>
          <w:rFonts w:ascii="Book Antiqua" w:hAnsi="Book Antiqua"/>
        </w:rPr>
      </w:pPr>
      <w:r>
        <w:rPr>
          <w:rFonts w:ascii="Book Antiqua" w:hAnsi="Book Antiqua" w:cs="Arial"/>
        </w:rPr>
        <w:t>Crumlin /Drimnagh Library</w:t>
      </w:r>
    </w:p>
    <w:p w:rsidR="00AC0474" w:rsidRPr="000F5570" w:rsidRDefault="00AC0474" w:rsidP="00AC0474">
      <w:pPr>
        <w:numPr>
          <w:ilvl w:val="0"/>
          <w:numId w:val="13"/>
        </w:numPr>
        <w:spacing w:after="0" w:line="240" w:lineRule="auto"/>
        <w:rPr>
          <w:rFonts w:ascii="Book Antiqua" w:hAnsi="Book Antiqua"/>
        </w:rPr>
      </w:pPr>
      <w:r>
        <w:rPr>
          <w:rFonts w:ascii="Book Antiqua" w:hAnsi="Book Antiqua" w:cs="Arial"/>
        </w:rPr>
        <w:t xml:space="preserve">Terenure Library – Redevelopment    </w:t>
      </w:r>
    </w:p>
    <w:p w:rsidR="00AC0474" w:rsidRPr="000F5570" w:rsidRDefault="00AC0474" w:rsidP="00AC0474">
      <w:pPr>
        <w:numPr>
          <w:ilvl w:val="0"/>
          <w:numId w:val="13"/>
        </w:numPr>
        <w:spacing w:after="0" w:line="240" w:lineRule="auto"/>
        <w:rPr>
          <w:rFonts w:ascii="Book Antiqua" w:hAnsi="Book Antiqua"/>
        </w:rPr>
      </w:pPr>
      <w:r>
        <w:rPr>
          <w:rFonts w:ascii="Book Antiqua" w:hAnsi="Book Antiqua" w:cs="Arial"/>
        </w:rPr>
        <w:t>Poppintree Playground</w:t>
      </w:r>
    </w:p>
    <w:p w:rsidR="00AC0474" w:rsidRPr="000F5570" w:rsidRDefault="00AC0474" w:rsidP="00AC0474">
      <w:pPr>
        <w:numPr>
          <w:ilvl w:val="0"/>
          <w:numId w:val="13"/>
        </w:numPr>
        <w:spacing w:after="0" w:line="240" w:lineRule="auto"/>
        <w:rPr>
          <w:rFonts w:ascii="Book Antiqua" w:hAnsi="Book Antiqua"/>
        </w:rPr>
      </w:pPr>
      <w:r>
        <w:rPr>
          <w:rFonts w:ascii="Book Antiqua" w:hAnsi="Book Antiqua" w:cs="Arial"/>
        </w:rPr>
        <w:t>Libraries Programmes Of Works</w:t>
      </w:r>
    </w:p>
    <w:p w:rsidR="00AC0474" w:rsidRPr="000F5570" w:rsidRDefault="00AC0474" w:rsidP="00AC0474">
      <w:pPr>
        <w:numPr>
          <w:ilvl w:val="0"/>
          <w:numId w:val="13"/>
        </w:numPr>
        <w:spacing w:after="0" w:line="240" w:lineRule="auto"/>
        <w:rPr>
          <w:rFonts w:ascii="Book Antiqua" w:hAnsi="Book Antiqua"/>
        </w:rPr>
      </w:pPr>
      <w:r>
        <w:rPr>
          <w:rFonts w:ascii="Book Antiqua" w:hAnsi="Book Antiqua" w:cs="Arial"/>
        </w:rPr>
        <w:t xml:space="preserve">Finglas Library Relocation  </w:t>
      </w:r>
    </w:p>
    <w:p w:rsidR="00AC0474" w:rsidRPr="00BF7440" w:rsidRDefault="00AC0474" w:rsidP="00AC0474">
      <w:pPr>
        <w:rPr>
          <w:rFonts w:ascii="Book Antiqua" w:hAnsi="Book Antiqua" w:cs="Arial"/>
          <w:b/>
        </w:rPr>
      </w:pPr>
    </w:p>
    <w:p w:rsidR="00AC0474" w:rsidRPr="00BF7440" w:rsidRDefault="00AC0474" w:rsidP="00AC0474">
      <w:pPr>
        <w:rPr>
          <w:rFonts w:ascii="Book Antiqua" w:hAnsi="Book Antiqua" w:cs="Arial"/>
          <w:b/>
        </w:rPr>
      </w:pPr>
      <w:r w:rsidRPr="00BF7440">
        <w:rPr>
          <w:rFonts w:ascii="Book Antiqua" w:hAnsi="Book Antiqua" w:cs="Arial"/>
          <w:b/>
        </w:rPr>
        <w:t xml:space="preserve">CLASS 5: URBAN REGENERATION FACILITIES &amp; AMENITIES </w:t>
      </w:r>
    </w:p>
    <w:p w:rsidR="00AC0474" w:rsidRDefault="00AC0474" w:rsidP="00AC0474">
      <w:pPr>
        <w:numPr>
          <w:ilvl w:val="0"/>
          <w:numId w:val="14"/>
        </w:numPr>
        <w:spacing w:after="0" w:line="240" w:lineRule="auto"/>
        <w:rPr>
          <w:rFonts w:ascii="Book Antiqua" w:hAnsi="Book Antiqua"/>
        </w:rPr>
      </w:pPr>
      <w:r>
        <w:rPr>
          <w:rFonts w:ascii="Book Antiqua" w:hAnsi="Book Antiqua"/>
        </w:rPr>
        <w:t xml:space="preserve">Library Square Ringsend Road /Cambridge Road </w:t>
      </w:r>
    </w:p>
    <w:p w:rsidR="00AC0474" w:rsidRDefault="00AC0474" w:rsidP="00AC0474">
      <w:pPr>
        <w:numPr>
          <w:ilvl w:val="0"/>
          <w:numId w:val="14"/>
        </w:numPr>
        <w:spacing w:after="0" w:line="240" w:lineRule="auto"/>
        <w:rPr>
          <w:rFonts w:ascii="Book Antiqua" w:hAnsi="Book Antiqua"/>
        </w:rPr>
      </w:pPr>
      <w:r>
        <w:rPr>
          <w:rFonts w:ascii="Book Antiqua" w:hAnsi="Book Antiqua"/>
        </w:rPr>
        <w:t>Crumlin Village  Environmental Improvement Scheme</w:t>
      </w:r>
    </w:p>
    <w:p w:rsidR="00AC0474" w:rsidRDefault="00AC0474" w:rsidP="00AC0474">
      <w:pPr>
        <w:numPr>
          <w:ilvl w:val="0"/>
          <w:numId w:val="14"/>
        </w:numPr>
        <w:spacing w:after="0" w:line="240" w:lineRule="auto"/>
        <w:rPr>
          <w:rFonts w:ascii="Book Antiqua" w:hAnsi="Book Antiqua"/>
        </w:rPr>
      </w:pPr>
      <w:r>
        <w:rPr>
          <w:rFonts w:ascii="Book Antiqua" w:hAnsi="Book Antiqua"/>
        </w:rPr>
        <w:t>Rosary Hall</w:t>
      </w:r>
    </w:p>
    <w:p w:rsidR="00AC0474" w:rsidRDefault="00AC0474" w:rsidP="00AC0474">
      <w:pPr>
        <w:numPr>
          <w:ilvl w:val="0"/>
          <w:numId w:val="14"/>
        </w:numPr>
        <w:spacing w:after="0" w:line="240" w:lineRule="auto"/>
        <w:rPr>
          <w:rFonts w:ascii="Book Antiqua" w:hAnsi="Book Antiqua"/>
        </w:rPr>
      </w:pPr>
      <w:r>
        <w:rPr>
          <w:rFonts w:ascii="Book Antiqua" w:hAnsi="Book Antiqua"/>
        </w:rPr>
        <w:t>Cambridge Road</w:t>
      </w:r>
    </w:p>
    <w:p w:rsidR="00AC0474" w:rsidRDefault="00AC0474" w:rsidP="00AC0474">
      <w:pPr>
        <w:numPr>
          <w:ilvl w:val="0"/>
          <w:numId w:val="14"/>
        </w:numPr>
        <w:spacing w:after="0" w:line="240" w:lineRule="auto"/>
        <w:rPr>
          <w:rFonts w:ascii="Book Antiqua" w:hAnsi="Book Antiqua"/>
        </w:rPr>
      </w:pPr>
      <w:r>
        <w:rPr>
          <w:rFonts w:ascii="Book Antiqua" w:hAnsi="Book Antiqua"/>
        </w:rPr>
        <w:t>Newmarket Square Environmental Improvement Scheme</w:t>
      </w:r>
    </w:p>
    <w:p w:rsidR="00AC0474" w:rsidRDefault="00AC0474" w:rsidP="00AC0474">
      <w:pPr>
        <w:numPr>
          <w:ilvl w:val="0"/>
          <w:numId w:val="14"/>
        </w:numPr>
        <w:spacing w:after="0" w:line="240" w:lineRule="auto"/>
        <w:rPr>
          <w:rFonts w:ascii="Book Antiqua" w:hAnsi="Book Antiqua"/>
        </w:rPr>
      </w:pPr>
      <w:r>
        <w:rPr>
          <w:rFonts w:ascii="Book Antiqua" w:hAnsi="Book Antiqua"/>
        </w:rPr>
        <w:t>Francis Street Environmental Improvement Scheme</w:t>
      </w:r>
    </w:p>
    <w:p w:rsidR="00AC0474" w:rsidRDefault="00AC0474" w:rsidP="00AC0474">
      <w:pPr>
        <w:numPr>
          <w:ilvl w:val="0"/>
          <w:numId w:val="14"/>
        </w:numPr>
        <w:spacing w:after="0" w:line="240" w:lineRule="auto"/>
        <w:rPr>
          <w:rFonts w:ascii="Book Antiqua" w:hAnsi="Book Antiqua"/>
        </w:rPr>
      </w:pPr>
      <w:r>
        <w:rPr>
          <w:rFonts w:ascii="Book Antiqua" w:hAnsi="Book Antiqua"/>
        </w:rPr>
        <w:t xml:space="preserve">Meath Street Public Realm Improvement Scheme </w:t>
      </w:r>
    </w:p>
    <w:p w:rsidR="00AC0474" w:rsidRDefault="00AC0474" w:rsidP="00AC0474">
      <w:pPr>
        <w:numPr>
          <w:ilvl w:val="0"/>
          <w:numId w:val="14"/>
        </w:numPr>
        <w:spacing w:after="0" w:line="240" w:lineRule="auto"/>
        <w:rPr>
          <w:rFonts w:ascii="Book Antiqua" w:hAnsi="Book Antiqua"/>
        </w:rPr>
      </w:pPr>
      <w:r>
        <w:rPr>
          <w:rFonts w:ascii="Book Antiqua" w:hAnsi="Book Antiqua"/>
        </w:rPr>
        <w:t>Public Ream Projects</w:t>
      </w:r>
    </w:p>
    <w:p w:rsidR="00AC0474" w:rsidRDefault="00AC0474" w:rsidP="00AC0474">
      <w:pPr>
        <w:numPr>
          <w:ilvl w:val="0"/>
          <w:numId w:val="14"/>
        </w:numPr>
        <w:spacing w:after="0" w:line="240" w:lineRule="auto"/>
        <w:rPr>
          <w:rFonts w:ascii="Book Antiqua" w:hAnsi="Book Antiqua"/>
        </w:rPr>
      </w:pPr>
      <w:r>
        <w:rPr>
          <w:rFonts w:ascii="Book Antiqua" w:hAnsi="Book Antiqua"/>
        </w:rPr>
        <w:t>Ballyfermot Civic Improvement  Scheme</w:t>
      </w:r>
    </w:p>
    <w:p w:rsidR="00AC0474" w:rsidRDefault="00AC0474" w:rsidP="00AC0474">
      <w:pPr>
        <w:numPr>
          <w:ilvl w:val="0"/>
          <w:numId w:val="14"/>
        </w:numPr>
        <w:spacing w:after="0" w:line="240" w:lineRule="auto"/>
        <w:rPr>
          <w:rFonts w:ascii="Book Antiqua" w:hAnsi="Book Antiqua"/>
        </w:rPr>
      </w:pPr>
      <w:r>
        <w:rPr>
          <w:rFonts w:ascii="Book Antiqua" w:hAnsi="Book Antiqua"/>
        </w:rPr>
        <w:t>Dolphin’s Barn Interim Environmental Improvements</w:t>
      </w:r>
    </w:p>
    <w:p w:rsidR="00AC0474" w:rsidRDefault="00AC0474" w:rsidP="00AC0474">
      <w:pPr>
        <w:numPr>
          <w:ilvl w:val="0"/>
          <w:numId w:val="14"/>
        </w:numPr>
        <w:spacing w:after="0" w:line="240" w:lineRule="auto"/>
        <w:rPr>
          <w:rFonts w:ascii="Book Antiqua" w:hAnsi="Book Antiqua"/>
        </w:rPr>
      </w:pPr>
      <w:r>
        <w:rPr>
          <w:rFonts w:ascii="Book Antiqua" w:hAnsi="Book Antiqua"/>
        </w:rPr>
        <w:t>Dolphin’s Barn Environmental Improvement Scheme</w:t>
      </w:r>
    </w:p>
    <w:p w:rsidR="00AC0474" w:rsidRDefault="00AC0474" w:rsidP="00AC0474">
      <w:pPr>
        <w:numPr>
          <w:ilvl w:val="0"/>
          <w:numId w:val="14"/>
        </w:numPr>
        <w:spacing w:after="0" w:line="240" w:lineRule="auto"/>
        <w:rPr>
          <w:rFonts w:ascii="Book Antiqua" w:hAnsi="Book Antiqua"/>
        </w:rPr>
      </w:pPr>
      <w:r>
        <w:rPr>
          <w:rFonts w:ascii="Book Antiqua" w:hAnsi="Book Antiqua"/>
        </w:rPr>
        <w:t>Cork Street Environmental Improvement Scheme</w:t>
      </w:r>
    </w:p>
    <w:p w:rsidR="00AC0474" w:rsidRPr="000F5570" w:rsidRDefault="00AC0474" w:rsidP="00AC0474">
      <w:pPr>
        <w:numPr>
          <w:ilvl w:val="0"/>
          <w:numId w:val="14"/>
        </w:numPr>
        <w:spacing w:after="0" w:line="240" w:lineRule="auto"/>
        <w:rPr>
          <w:rFonts w:ascii="Book Antiqua" w:hAnsi="Book Antiqua"/>
        </w:rPr>
      </w:pPr>
      <w:r>
        <w:rPr>
          <w:rFonts w:ascii="Book Antiqua" w:hAnsi="Book Antiqua"/>
        </w:rPr>
        <w:t>Vicar Street Public Space</w:t>
      </w:r>
    </w:p>
    <w:p w:rsidR="00AC0474" w:rsidRPr="000F5570" w:rsidRDefault="00AC0474" w:rsidP="00AC0474">
      <w:pPr>
        <w:numPr>
          <w:ilvl w:val="0"/>
          <w:numId w:val="14"/>
        </w:numPr>
        <w:spacing w:after="0" w:line="240" w:lineRule="auto"/>
        <w:rPr>
          <w:rFonts w:ascii="Book Antiqua" w:hAnsi="Book Antiqua"/>
        </w:rPr>
      </w:pPr>
      <w:r>
        <w:rPr>
          <w:rFonts w:ascii="Book Antiqua" w:hAnsi="Book Antiqua"/>
        </w:rPr>
        <w:t>Inchicore Public Realm</w:t>
      </w:r>
    </w:p>
    <w:p w:rsidR="00AC0474" w:rsidRDefault="00AC0474" w:rsidP="00AC0474">
      <w:pPr>
        <w:numPr>
          <w:ilvl w:val="0"/>
          <w:numId w:val="14"/>
        </w:numPr>
        <w:spacing w:after="0" w:line="240" w:lineRule="auto"/>
        <w:rPr>
          <w:rFonts w:ascii="Book Antiqua" w:hAnsi="Book Antiqua"/>
        </w:rPr>
      </w:pPr>
      <w:r>
        <w:rPr>
          <w:rFonts w:ascii="Book Antiqua" w:hAnsi="Book Antiqua"/>
        </w:rPr>
        <w:t>Kilmainham Public Realm</w:t>
      </w:r>
    </w:p>
    <w:p w:rsidR="00AC0474" w:rsidRDefault="00AC0474" w:rsidP="00AC0474">
      <w:pPr>
        <w:numPr>
          <w:ilvl w:val="0"/>
          <w:numId w:val="14"/>
        </w:numPr>
        <w:spacing w:after="0" w:line="240" w:lineRule="auto"/>
        <w:rPr>
          <w:rFonts w:ascii="Book Antiqua" w:hAnsi="Book Antiqua"/>
        </w:rPr>
      </w:pPr>
      <w:r>
        <w:rPr>
          <w:rFonts w:ascii="Book Antiqua" w:hAnsi="Book Antiqua"/>
        </w:rPr>
        <w:t>Greening Strategy</w:t>
      </w:r>
    </w:p>
    <w:p w:rsidR="00AC0474" w:rsidRDefault="00AC0474" w:rsidP="00AC0474">
      <w:pPr>
        <w:numPr>
          <w:ilvl w:val="0"/>
          <w:numId w:val="14"/>
        </w:numPr>
        <w:spacing w:after="0" w:line="240" w:lineRule="auto"/>
        <w:rPr>
          <w:rFonts w:ascii="Book Antiqua" w:hAnsi="Book Antiqua"/>
        </w:rPr>
      </w:pPr>
      <w:r>
        <w:rPr>
          <w:rFonts w:ascii="Book Antiqua" w:hAnsi="Book Antiqua"/>
        </w:rPr>
        <w:t>Military Trail – Wayfinding &amp; App</w:t>
      </w:r>
    </w:p>
    <w:p w:rsidR="00AC0474" w:rsidRDefault="00AC0474" w:rsidP="00AC0474">
      <w:pPr>
        <w:numPr>
          <w:ilvl w:val="0"/>
          <w:numId w:val="14"/>
        </w:numPr>
        <w:spacing w:after="0" w:line="240" w:lineRule="auto"/>
        <w:rPr>
          <w:rFonts w:ascii="Book Antiqua" w:hAnsi="Book Antiqua"/>
        </w:rPr>
      </w:pPr>
      <w:r>
        <w:rPr>
          <w:rFonts w:ascii="Book Antiqua" w:hAnsi="Book Antiqua"/>
        </w:rPr>
        <w:t>Bridgefoot Street Court</w:t>
      </w:r>
    </w:p>
    <w:p w:rsidR="00AC0474" w:rsidRDefault="00AC0474" w:rsidP="00AC0474">
      <w:pPr>
        <w:numPr>
          <w:ilvl w:val="0"/>
          <w:numId w:val="14"/>
        </w:numPr>
        <w:spacing w:after="0" w:line="240" w:lineRule="auto"/>
        <w:rPr>
          <w:rFonts w:ascii="Book Antiqua" w:hAnsi="Book Antiqua"/>
        </w:rPr>
      </w:pPr>
      <w:r>
        <w:rPr>
          <w:rFonts w:ascii="Book Antiqua" w:hAnsi="Book Antiqua"/>
        </w:rPr>
        <w:t>37 Thomas Court</w:t>
      </w:r>
    </w:p>
    <w:p w:rsidR="00AC0474" w:rsidRDefault="00AC0474" w:rsidP="00AC0474">
      <w:pPr>
        <w:numPr>
          <w:ilvl w:val="0"/>
          <w:numId w:val="14"/>
        </w:numPr>
        <w:spacing w:after="0" w:line="240" w:lineRule="auto"/>
        <w:rPr>
          <w:rFonts w:ascii="Book Antiqua" w:hAnsi="Book Antiqua"/>
        </w:rPr>
      </w:pPr>
      <w:r>
        <w:rPr>
          <w:rFonts w:ascii="Book Antiqua" w:hAnsi="Book Antiqua"/>
        </w:rPr>
        <w:lastRenderedPageBreak/>
        <w:t>Bonham Street Commercial Unit</w:t>
      </w:r>
    </w:p>
    <w:p w:rsidR="00AC0474" w:rsidRPr="000F5570" w:rsidRDefault="00AC0474" w:rsidP="00AC0474">
      <w:pPr>
        <w:numPr>
          <w:ilvl w:val="0"/>
          <w:numId w:val="14"/>
        </w:numPr>
        <w:spacing w:after="0" w:line="240" w:lineRule="auto"/>
        <w:rPr>
          <w:rFonts w:ascii="Book Antiqua" w:hAnsi="Book Antiqua"/>
        </w:rPr>
      </w:pPr>
      <w:r>
        <w:rPr>
          <w:rFonts w:ascii="Book Antiqua" w:hAnsi="Book Antiqua"/>
        </w:rPr>
        <w:t>Bonham Street Residential Unit</w:t>
      </w:r>
    </w:p>
    <w:p w:rsidR="00AC0474" w:rsidRDefault="00AC0474" w:rsidP="00AC0474">
      <w:pPr>
        <w:numPr>
          <w:ilvl w:val="0"/>
          <w:numId w:val="14"/>
        </w:numPr>
        <w:spacing w:after="0" w:line="240" w:lineRule="auto"/>
        <w:rPr>
          <w:rFonts w:ascii="Book Antiqua" w:hAnsi="Book Antiqua"/>
        </w:rPr>
      </w:pPr>
      <w:r>
        <w:rPr>
          <w:rFonts w:ascii="Book Antiqua" w:hAnsi="Book Antiqua"/>
        </w:rPr>
        <w:t>Cork Street/Weaver Square</w:t>
      </w:r>
    </w:p>
    <w:p w:rsidR="00AC0474" w:rsidRDefault="00AC0474" w:rsidP="00AC0474">
      <w:pPr>
        <w:numPr>
          <w:ilvl w:val="0"/>
          <w:numId w:val="14"/>
        </w:numPr>
        <w:spacing w:after="0" w:line="240" w:lineRule="auto"/>
        <w:rPr>
          <w:rFonts w:ascii="Book Antiqua" w:hAnsi="Book Antiqua"/>
        </w:rPr>
      </w:pPr>
      <w:r>
        <w:rPr>
          <w:rFonts w:ascii="Book Antiqua" w:hAnsi="Book Antiqua"/>
        </w:rPr>
        <w:t>St. James’s Graveyard</w:t>
      </w:r>
    </w:p>
    <w:p w:rsidR="00AC0474" w:rsidRDefault="00AC0474" w:rsidP="00AC0474">
      <w:pPr>
        <w:numPr>
          <w:ilvl w:val="0"/>
          <w:numId w:val="14"/>
        </w:numPr>
        <w:spacing w:after="0" w:line="240" w:lineRule="auto"/>
        <w:rPr>
          <w:rFonts w:ascii="Book Antiqua" w:hAnsi="Book Antiqua"/>
        </w:rPr>
      </w:pPr>
      <w:r>
        <w:rPr>
          <w:rFonts w:ascii="Book Antiqua" w:hAnsi="Book Antiqua"/>
        </w:rPr>
        <w:t>Familibase Ballyfermot</w:t>
      </w:r>
    </w:p>
    <w:p w:rsidR="00AC0474" w:rsidRDefault="00AC0474" w:rsidP="00AC0474">
      <w:pPr>
        <w:numPr>
          <w:ilvl w:val="0"/>
          <w:numId w:val="14"/>
        </w:numPr>
        <w:spacing w:after="0" w:line="240" w:lineRule="auto"/>
        <w:rPr>
          <w:rFonts w:ascii="Book Antiqua" w:hAnsi="Book Antiqua"/>
        </w:rPr>
      </w:pPr>
      <w:r>
        <w:rPr>
          <w:rFonts w:ascii="Book Antiqua" w:hAnsi="Book Antiqua"/>
        </w:rPr>
        <w:t>Scribblestown Improvement Works</w:t>
      </w:r>
    </w:p>
    <w:p w:rsidR="00AC0474" w:rsidRDefault="00AC0474" w:rsidP="00AC0474">
      <w:pPr>
        <w:numPr>
          <w:ilvl w:val="0"/>
          <w:numId w:val="14"/>
        </w:numPr>
        <w:spacing w:after="0" w:line="240" w:lineRule="auto"/>
        <w:rPr>
          <w:rFonts w:ascii="Book Antiqua" w:hAnsi="Book Antiqua"/>
        </w:rPr>
      </w:pPr>
      <w:r>
        <w:rPr>
          <w:rFonts w:ascii="Book Antiqua" w:hAnsi="Book Antiqua"/>
        </w:rPr>
        <w:t>Suffolk Street</w:t>
      </w:r>
    </w:p>
    <w:p w:rsidR="00AC0474" w:rsidRDefault="00AC0474" w:rsidP="00AC0474">
      <w:pPr>
        <w:numPr>
          <w:ilvl w:val="0"/>
          <w:numId w:val="14"/>
        </w:numPr>
        <w:spacing w:after="0" w:line="240" w:lineRule="auto"/>
        <w:rPr>
          <w:rFonts w:ascii="Book Antiqua" w:hAnsi="Book Antiqua"/>
        </w:rPr>
      </w:pPr>
      <w:r>
        <w:rPr>
          <w:rFonts w:ascii="Book Antiqua" w:hAnsi="Book Antiqua"/>
        </w:rPr>
        <w:t>Temple Bar Square</w:t>
      </w:r>
    </w:p>
    <w:p w:rsidR="00AC0474" w:rsidRDefault="00AC0474" w:rsidP="00AC0474">
      <w:pPr>
        <w:numPr>
          <w:ilvl w:val="0"/>
          <w:numId w:val="14"/>
        </w:numPr>
        <w:spacing w:after="0" w:line="240" w:lineRule="auto"/>
        <w:rPr>
          <w:rFonts w:ascii="Book Antiqua" w:hAnsi="Book Antiqua"/>
        </w:rPr>
      </w:pPr>
      <w:r>
        <w:rPr>
          <w:rFonts w:ascii="Book Antiqua" w:hAnsi="Book Antiqua"/>
        </w:rPr>
        <w:t>College Green Plaza</w:t>
      </w:r>
    </w:p>
    <w:p w:rsidR="00AC0474" w:rsidRDefault="00AC0474" w:rsidP="00AC0474">
      <w:pPr>
        <w:numPr>
          <w:ilvl w:val="0"/>
          <w:numId w:val="14"/>
        </w:numPr>
        <w:spacing w:after="0" w:line="240" w:lineRule="auto"/>
        <w:rPr>
          <w:rFonts w:ascii="Book Antiqua" w:hAnsi="Book Antiqua"/>
        </w:rPr>
      </w:pPr>
      <w:r>
        <w:rPr>
          <w:rFonts w:ascii="Book Antiqua" w:hAnsi="Book Antiqua"/>
        </w:rPr>
        <w:t>Quayside Buildings</w:t>
      </w:r>
    </w:p>
    <w:p w:rsidR="00AC0474" w:rsidRDefault="00AC0474" w:rsidP="00AC0474">
      <w:pPr>
        <w:numPr>
          <w:ilvl w:val="0"/>
          <w:numId w:val="14"/>
        </w:numPr>
        <w:spacing w:after="0" w:line="240" w:lineRule="auto"/>
        <w:rPr>
          <w:rFonts w:ascii="Book Antiqua" w:hAnsi="Book Antiqua"/>
        </w:rPr>
      </w:pPr>
      <w:r>
        <w:rPr>
          <w:rFonts w:ascii="Book Antiqua" w:hAnsi="Book Antiqua"/>
        </w:rPr>
        <w:t>Wayfinding Scheme  - New Phase</w:t>
      </w:r>
    </w:p>
    <w:p w:rsidR="00AC0474" w:rsidRDefault="00AC0474" w:rsidP="00AC0474">
      <w:pPr>
        <w:numPr>
          <w:ilvl w:val="0"/>
          <w:numId w:val="14"/>
        </w:numPr>
        <w:spacing w:after="0" w:line="240" w:lineRule="auto"/>
        <w:rPr>
          <w:rFonts w:ascii="Book Antiqua" w:hAnsi="Book Antiqua"/>
        </w:rPr>
      </w:pPr>
      <w:r>
        <w:rPr>
          <w:rFonts w:ascii="Book Antiqua" w:hAnsi="Book Antiqua"/>
        </w:rPr>
        <w:t xml:space="preserve">Active Land Management </w:t>
      </w:r>
    </w:p>
    <w:p w:rsidR="00AC0474" w:rsidRPr="00BF7440" w:rsidRDefault="00AC0474" w:rsidP="00AC0474">
      <w:pPr>
        <w:numPr>
          <w:ilvl w:val="0"/>
          <w:numId w:val="14"/>
        </w:numPr>
        <w:spacing w:after="0" w:line="240" w:lineRule="auto"/>
        <w:rPr>
          <w:rFonts w:ascii="Book Antiqua" w:hAnsi="Book Antiqua"/>
        </w:rPr>
      </w:pPr>
      <w:r w:rsidRPr="00BF7440">
        <w:rPr>
          <w:rFonts w:ascii="Book Antiqua" w:hAnsi="Book Antiqua"/>
        </w:rPr>
        <w:t xml:space="preserve">Dublin Docklands Heritage Trail-  Mobile Application &amp; Way Finding </w:t>
      </w:r>
    </w:p>
    <w:p w:rsidR="00AC0474" w:rsidRDefault="00AC0474" w:rsidP="00AC0474">
      <w:pPr>
        <w:numPr>
          <w:ilvl w:val="0"/>
          <w:numId w:val="15"/>
        </w:numPr>
        <w:spacing w:after="0" w:line="240" w:lineRule="auto"/>
        <w:rPr>
          <w:rFonts w:ascii="Book Antiqua" w:hAnsi="Book Antiqua"/>
        </w:rPr>
      </w:pPr>
      <w:r>
        <w:rPr>
          <w:rFonts w:ascii="Book Antiqua" w:hAnsi="Book Antiqua"/>
        </w:rPr>
        <w:t>URDF 41 Parnell Square</w:t>
      </w:r>
    </w:p>
    <w:p w:rsidR="00AC0474" w:rsidRDefault="00AC0474" w:rsidP="00AC0474">
      <w:pPr>
        <w:numPr>
          <w:ilvl w:val="0"/>
          <w:numId w:val="15"/>
        </w:numPr>
        <w:spacing w:after="0" w:line="240" w:lineRule="auto"/>
        <w:rPr>
          <w:rFonts w:ascii="Book Antiqua" w:hAnsi="Book Antiqua"/>
        </w:rPr>
      </w:pPr>
      <w:r>
        <w:rPr>
          <w:rFonts w:ascii="Book Antiqua" w:hAnsi="Book Antiqua"/>
        </w:rPr>
        <w:t xml:space="preserve">St. Luke’s Graveyard &amp; Park </w:t>
      </w:r>
    </w:p>
    <w:p w:rsidR="00AC0474" w:rsidRDefault="00AC0474" w:rsidP="00AC0474">
      <w:pPr>
        <w:numPr>
          <w:ilvl w:val="0"/>
          <w:numId w:val="15"/>
        </w:numPr>
        <w:spacing w:after="0" w:line="240" w:lineRule="auto"/>
        <w:rPr>
          <w:rFonts w:ascii="Book Antiqua" w:hAnsi="Book Antiqua"/>
        </w:rPr>
      </w:pPr>
      <w:r>
        <w:rPr>
          <w:rFonts w:ascii="Book Antiqua" w:hAnsi="Book Antiqua"/>
        </w:rPr>
        <w:t>City Walls Conservation Plans Works</w:t>
      </w:r>
    </w:p>
    <w:p w:rsidR="00AC0474" w:rsidRDefault="00AC0474" w:rsidP="00AC0474">
      <w:pPr>
        <w:numPr>
          <w:ilvl w:val="0"/>
          <w:numId w:val="15"/>
        </w:numPr>
        <w:spacing w:after="0" w:line="240" w:lineRule="auto"/>
        <w:rPr>
          <w:rFonts w:ascii="Book Antiqua" w:hAnsi="Book Antiqua"/>
        </w:rPr>
      </w:pPr>
      <w:r>
        <w:rPr>
          <w:rFonts w:ascii="Book Antiqua" w:hAnsi="Book Antiqua"/>
        </w:rPr>
        <w:t>URDF Fruit &amp; Vegetable Market</w:t>
      </w:r>
    </w:p>
    <w:p w:rsidR="00AC0474" w:rsidRDefault="00AC0474" w:rsidP="00AC0474">
      <w:pPr>
        <w:numPr>
          <w:ilvl w:val="0"/>
          <w:numId w:val="15"/>
        </w:numPr>
        <w:spacing w:after="0" w:line="240" w:lineRule="auto"/>
        <w:rPr>
          <w:rFonts w:ascii="Book Antiqua" w:hAnsi="Book Antiqua"/>
        </w:rPr>
      </w:pPr>
      <w:r>
        <w:rPr>
          <w:rFonts w:ascii="Book Antiqua" w:hAnsi="Book Antiqua"/>
        </w:rPr>
        <w:t>URDF Markets &amp; Public Realm Study &amp; Works</w:t>
      </w:r>
    </w:p>
    <w:p w:rsidR="00AC0474" w:rsidRDefault="00AC0474" w:rsidP="00AC0474">
      <w:pPr>
        <w:numPr>
          <w:ilvl w:val="0"/>
          <w:numId w:val="15"/>
        </w:numPr>
        <w:spacing w:after="0" w:line="240" w:lineRule="auto"/>
        <w:rPr>
          <w:rFonts w:ascii="Book Antiqua" w:hAnsi="Book Antiqua"/>
        </w:rPr>
      </w:pPr>
      <w:r>
        <w:rPr>
          <w:rFonts w:ascii="Book Antiqua" w:hAnsi="Book Antiqua"/>
        </w:rPr>
        <w:t>URDF Werburgh Street/Ship Street Gateway Framework</w:t>
      </w:r>
    </w:p>
    <w:p w:rsidR="00AC0474" w:rsidRDefault="00AC0474" w:rsidP="00AC0474">
      <w:pPr>
        <w:numPr>
          <w:ilvl w:val="0"/>
          <w:numId w:val="15"/>
        </w:numPr>
        <w:spacing w:after="0" w:line="240" w:lineRule="auto"/>
        <w:rPr>
          <w:rFonts w:ascii="Book Antiqua" w:hAnsi="Book Antiqua"/>
        </w:rPr>
      </w:pPr>
      <w:r>
        <w:rPr>
          <w:rFonts w:ascii="Book Antiqua" w:hAnsi="Book Antiqua"/>
        </w:rPr>
        <w:t>Redevelopment Of Dalymount Park</w:t>
      </w:r>
    </w:p>
    <w:p w:rsidR="00AC0474" w:rsidRDefault="00AC0474" w:rsidP="00AC0474">
      <w:pPr>
        <w:numPr>
          <w:ilvl w:val="0"/>
          <w:numId w:val="15"/>
        </w:numPr>
        <w:spacing w:after="0" w:line="240" w:lineRule="auto"/>
        <w:rPr>
          <w:rFonts w:ascii="Book Antiqua" w:hAnsi="Book Antiqua"/>
        </w:rPr>
      </w:pPr>
      <w:r>
        <w:rPr>
          <w:rFonts w:ascii="Book Antiqua" w:hAnsi="Book Antiqua"/>
        </w:rPr>
        <w:t>Hugh Lane –Programme Works</w:t>
      </w:r>
    </w:p>
    <w:p w:rsidR="00AC0474" w:rsidRDefault="00AC0474" w:rsidP="00AC0474">
      <w:pPr>
        <w:numPr>
          <w:ilvl w:val="0"/>
          <w:numId w:val="15"/>
        </w:numPr>
        <w:spacing w:after="0" w:line="240" w:lineRule="auto"/>
        <w:rPr>
          <w:rFonts w:ascii="Book Antiqua" w:hAnsi="Book Antiqua"/>
        </w:rPr>
      </w:pPr>
      <w:r>
        <w:rPr>
          <w:rFonts w:ascii="Book Antiqua" w:hAnsi="Book Antiqua"/>
        </w:rPr>
        <w:t>Nos. 20 &amp; 21 Parnell Square North</w:t>
      </w:r>
    </w:p>
    <w:p w:rsidR="00AC0474" w:rsidRDefault="00AC0474" w:rsidP="00AC0474">
      <w:pPr>
        <w:numPr>
          <w:ilvl w:val="0"/>
          <w:numId w:val="15"/>
        </w:numPr>
        <w:spacing w:after="0" w:line="240" w:lineRule="auto"/>
        <w:rPr>
          <w:rFonts w:ascii="Book Antiqua" w:hAnsi="Book Antiqua"/>
        </w:rPr>
      </w:pPr>
      <w:r>
        <w:rPr>
          <w:rFonts w:ascii="Book Antiqua" w:hAnsi="Book Antiqua"/>
        </w:rPr>
        <w:t>Docklands Public Realm</w:t>
      </w:r>
    </w:p>
    <w:p w:rsidR="00AC0474" w:rsidRDefault="00AC0474" w:rsidP="00AC0474">
      <w:pPr>
        <w:numPr>
          <w:ilvl w:val="0"/>
          <w:numId w:val="15"/>
        </w:numPr>
        <w:spacing w:after="0" w:line="240" w:lineRule="auto"/>
        <w:rPr>
          <w:rFonts w:ascii="Book Antiqua" w:hAnsi="Book Antiqua"/>
        </w:rPr>
      </w:pPr>
      <w:r>
        <w:rPr>
          <w:rFonts w:ascii="Book Antiqua" w:hAnsi="Book Antiqua"/>
        </w:rPr>
        <w:t>St. Patricks Athletic Project</w:t>
      </w:r>
    </w:p>
    <w:p w:rsidR="00AC0474" w:rsidRPr="000F5570" w:rsidRDefault="00AC0474" w:rsidP="00AC0474">
      <w:pPr>
        <w:numPr>
          <w:ilvl w:val="0"/>
          <w:numId w:val="15"/>
        </w:numPr>
        <w:spacing w:after="0" w:line="240" w:lineRule="auto"/>
        <w:rPr>
          <w:rFonts w:ascii="Book Antiqua" w:hAnsi="Book Antiqua"/>
        </w:rPr>
      </w:pPr>
      <w:r>
        <w:rPr>
          <w:rFonts w:ascii="Book Antiqua" w:hAnsi="Book Antiqua"/>
        </w:rPr>
        <w:t xml:space="preserve">1 North Fredrick Lane </w:t>
      </w:r>
    </w:p>
    <w:p w:rsidR="00AC0474" w:rsidRDefault="00AC0474" w:rsidP="00AC0474">
      <w:pPr>
        <w:numPr>
          <w:ilvl w:val="0"/>
          <w:numId w:val="15"/>
        </w:numPr>
        <w:spacing w:after="0" w:line="240" w:lineRule="auto"/>
        <w:rPr>
          <w:rFonts w:ascii="Book Antiqua" w:hAnsi="Book Antiqua"/>
        </w:rPr>
      </w:pPr>
      <w:r w:rsidRPr="0065459F">
        <w:rPr>
          <w:rFonts w:ascii="Book Antiqua" w:hAnsi="Book Antiqua"/>
        </w:rPr>
        <w:t>D</w:t>
      </w:r>
      <w:r>
        <w:rPr>
          <w:rFonts w:ascii="Book Antiqua" w:hAnsi="Book Antiqua"/>
        </w:rPr>
        <w:t>iamond Park</w:t>
      </w:r>
    </w:p>
    <w:p w:rsidR="00AC0474" w:rsidRDefault="00AC0474" w:rsidP="00AC0474">
      <w:pPr>
        <w:numPr>
          <w:ilvl w:val="0"/>
          <w:numId w:val="15"/>
        </w:numPr>
        <w:spacing w:after="0" w:line="240" w:lineRule="auto"/>
        <w:rPr>
          <w:rFonts w:ascii="Book Antiqua" w:hAnsi="Book Antiqua"/>
        </w:rPr>
      </w:pPr>
      <w:r>
        <w:rPr>
          <w:rFonts w:ascii="Book Antiqua" w:hAnsi="Book Antiqua"/>
        </w:rPr>
        <w:t>Public Realm – Minor Works</w:t>
      </w:r>
    </w:p>
    <w:p w:rsidR="00AC0474" w:rsidRDefault="00AC0474" w:rsidP="00AC0474">
      <w:pPr>
        <w:numPr>
          <w:ilvl w:val="0"/>
          <w:numId w:val="15"/>
        </w:numPr>
        <w:spacing w:after="0" w:line="240" w:lineRule="auto"/>
        <w:rPr>
          <w:rFonts w:ascii="Book Antiqua" w:hAnsi="Book Antiqua"/>
        </w:rPr>
      </w:pPr>
      <w:r>
        <w:rPr>
          <w:rFonts w:ascii="Book Antiqua" w:hAnsi="Book Antiqua"/>
        </w:rPr>
        <w:t>Green Infrastructure (Street Tree Build Out Programme)</w:t>
      </w:r>
    </w:p>
    <w:p w:rsidR="00AC0474" w:rsidRDefault="00AC0474" w:rsidP="00AC0474">
      <w:pPr>
        <w:numPr>
          <w:ilvl w:val="0"/>
          <w:numId w:val="15"/>
        </w:numPr>
        <w:spacing w:after="0" w:line="240" w:lineRule="auto"/>
        <w:rPr>
          <w:rFonts w:ascii="Book Antiqua" w:hAnsi="Book Antiqua"/>
        </w:rPr>
      </w:pPr>
      <w:r>
        <w:rPr>
          <w:rFonts w:ascii="Book Antiqua" w:hAnsi="Book Antiqua"/>
        </w:rPr>
        <w:t>NEIC Greening Projects</w:t>
      </w:r>
    </w:p>
    <w:p w:rsidR="00AC0474" w:rsidRDefault="00AC0474" w:rsidP="00AC0474">
      <w:pPr>
        <w:numPr>
          <w:ilvl w:val="0"/>
          <w:numId w:val="15"/>
        </w:numPr>
        <w:spacing w:after="0" w:line="240" w:lineRule="auto"/>
        <w:rPr>
          <w:rFonts w:ascii="Book Antiqua" w:hAnsi="Book Antiqua"/>
        </w:rPr>
      </w:pPr>
      <w:r>
        <w:rPr>
          <w:rFonts w:ascii="Book Antiqua" w:hAnsi="Book Antiqua"/>
        </w:rPr>
        <w:t>Stoneybatter Greening Projects</w:t>
      </w:r>
    </w:p>
    <w:p w:rsidR="00AC0474" w:rsidRDefault="00AC0474" w:rsidP="00AC0474">
      <w:pPr>
        <w:numPr>
          <w:ilvl w:val="0"/>
          <w:numId w:val="15"/>
        </w:numPr>
        <w:spacing w:after="0" w:line="240" w:lineRule="auto"/>
        <w:rPr>
          <w:rFonts w:ascii="Book Antiqua" w:hAnsi="Book Antiqua"/>
        </w:rPr>
      </w:pPr>
      <w:r>
        <w:rPr>
          <w:rFonts w:ascii="Book Antiqua" w:hAnsi="Book Antiqua"/>
        </w:rPr>
        <w:t>Portobello Harbour Park</w:t>
      </w:r>
    </w:p>
    <w:p w:rsidR="00AC0474" w:rsidRPr="000F5570" w:rsidRDefault="00AC0474" w:rsidP="00AC0474">
      <w:pPr>
        <w:numPr>
          <w:ilvl w:val="0"/>
          <w:numId w:val="15"/>
        </w:numPr>
        <w:spacing w:after="0" w:line="240" w:lineRule="auto"/>
        <w:rPr>
          <w:rFonts w:ascii="Book Antiqua" w:hAnsi="Book Antiqua"/>
        </w:rPr>
      </w:pPr>
      <w:r>
        <w:rPr>
          <w:rFonts w:ascii="Book Antiqua" w:hAnsi="Book Antiqua"/>
        </w:rPr>
        <w:t>Accessibility &amp; Landscaping Works To Mansion House &amp; Garden</w:t>
      </w:r>
    </w:p>
    <w:p w:rsidR="00AC0474" w:rsidRPr="00996EDD" w:rsidRDefault="00AC0474" w:rsidP="00AC0474">
      <w:pPr>
        <w:pStyle w:val="BodyText"/>
        <w:jc w:val="both"/>
        <w:rPr>
          <w:rFonts w:ascii="Arial" w:hAnsi="Arial" w:cs="Arial"/>
          <w:bCs/>
        </w:rPr>
      </w:pPr>
    </w:p>
    <w:p w:rsidR="00AB6156" w:rsidRDefault="00A64C2F" w:rsidP="00AC0474"/>
    <w:sectPr w:rsidR="00AB61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2B4E"/>
    <w:multiLevelType w:val="hybridMultilevel"/>
    <w:tmpl w:val="C246ACF6"/>
    <w:lvl w:ilvl="0" w:tplc="7D36E58A">
      <w:start w:val="6"/>
      <w:numFmt w:val="decimal"/>
      <w:lvlText w:val="%1."/>
      <w:lvlJc w:val="left"/>
      <w:pPr>
        <w:tabs>
          <w:tab w:val="num" w:pos="1080"/>
        </w:tabs>
        <w:ind w:left="1080" w:hanging="720"/>
      </w:pPr>
      <w:rPr>
        <w:rFonts w:hint="default"/>
      </w:rPr>
    </w:lvl>
    <w:lvl w:ilvl="1" w:tplc="54DE3878">
      <w:start w:val="1"/>
      <w:numFmt w:val="lowerLetter"/>
      <w:lvlText w:val="(%2)"/>
      <w:lvlJc w:val="left"/>
      <w:pPr>
        <w:tabs>
          <w:tab w:val="num" w:pos="1530"/>
        </w:tabs>
        <w:ind w:left="1530" w:hanging="450"/>
      </w:pPr>
      <w:rPr>
        <w:rFonts w:hint="default"/>
      </w:rPr>
    </w:lvl>
    <w:lvl w:ilvl="2" w:tplc="EAF079BE">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483F9A"/>
    <w:multiLevelType w:val="hybridMultilevel"/>
    <w:tmpl w:val="4E1012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2FB63D5"/>
    <w:multiLevelType w:val="hybridMultilevel"/>
    <w:tmpl w:val="23085318"/>
    <w:lvl w:ilvl="0" w:tplc="E7B47DC0">
      <w:start w:val="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FFA0343"/>
    <w:multiLevelType w:val="multilevel"/>
    <w:tmpl w:val="0A4075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574141B"/>
    <w:multiLevelType w:val="hybridMultilevel"/>
    <w:tmpl w:val="EF6A56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1147F3A"/>
    <w:multiLevelType w:val="multilevel"/>
    <w:tmpl w:val="85A81DC4"/>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34793991"/>
    <w:multiLevelType w:val="hybridMultilevel"/>
    <w:tmpl w:val="3F10DC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A685DA1"/>
    <w:multiLevelType w:val="hybridMultilevel"/>
    <w:tmpl w:val="80F487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EED4A96"/>
    <w:multiLevelType w:val="multilevel"/>
    <w:tmpl w:val="2F342BA8"/>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403278C0"/>
    <w:multiLevelType w:val="hybridMultilevel"/>
    <w:tmpl w:val="732CE95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0" w15:restartNumberingAfterBreak="0">
    <w:nsid w:val="4A377419"/>
    <w:multiLevelType w:val="hybridMultilevel"/>
    <w:tmpl w:val="6FDCE51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4C78658D"/>
    <w:multiLevelType w:val="hybridMultilevel"/>
    <w:tmpl w:val="ACF26580"/>
    <w:lvl w:ilvl="0" w:tplc="0088A200">
      <w:start w:val="7"/>
      <w:numFmt w:val="decimal"/>
      <w:pStyle w:val="ListBullet"/>
      <w:lvlText w:val="%1."/>
      <w:lvlJc w:val="left"/>
      <w:pPr>
        <w:tabs>
          <w:tab w:val="num" w:pos="360"/>
        </w:tabs>
        <w:ind w:left="360" w:hanging="360"/>
      </w:pPr>
      <w:rPr>
        <w:rFonts w:hint="default"/>
        <w:b w:val="0"/>
        <w:i w:val="0"/>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4E3475AC"/>
    <w:multiLevelType w:val="hybridMultilevel"/>
    <w:tmpl w:val="211EF986"/>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13" w15:restartNumberingAfterBreak="0">
    <w:nsid w:val="52CC268D"/>
    <w:multiLevelType w:val="hybridMultilevel"/>
    <w:tmpl w:val="2AE0253C"/>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4" w15:restartNumberingAfterBreak="0">
    <w:nsid w:val="56BB0555"/>
    <w:multiLevelType w:val="singleLevel"/>
    <w:tmpl w:val="4D3E9A1C"/>
    <w:lvl w:ilvl="0">
      <w:start w:val="1"/>
      <w:numFmt w:val="lowerLetter"/>
      <w:lvlText w:val="(%1)"/>
      <w:lvlJc w:val="left"/>
      <w:pPr>
        <w:tabs>
          <w:tab w:val="num" w:pos="1440"/>
        </w:tabs>
        <w:ind w:left="1440" w:hanging="720"/>
      </w:pPr>
      <w:rPr>
        <w:rFonts w:hint="default"/>
        <w:b w:val="0"/>
      </w:rPr>
    </w:lvl>
  </w:abstractNum>
  <w:num w:numId="1">
    <w:abstractNumId w:val="13"/>
  </w:num>
  <w:num w:numId="2">
    <w:abstractNumId w:val="14"/>
  </w:num>
  <w:num w:numId="3">
    <w:abstractNumId w:val="2"/>
  </w:num>
  <w:num w:numId="4">
    <w:abstractNumId w:val="3"/>
  </w:num>
  <w:num w:numId="5">
    <w:abstractNumId w:val="5"/>
  </w:num>
  <w:num w:numId="6">
    <w:abstractNumId w:val="11"/>
  </w:num>
  <w:num w:numId="7">
    <w:abstractNumId w:val="8"/>
  </w:num>
  <w:num w:numId="8">
    <w:abstractNumId w:val="12"/>
  </w:num>
  <w:num w:numId="9">
    <w:abstractNumId w:val="0"/>
  </w:num>
  <w:num w:numId="10">
    <w:abstractNumId w:val="9"/>
  </w:num>
  <w:num w:numId="11">
    <w:abstractNumId w:val="6"/>
  </w:num>
  <w:num w:numId="12">
    <w:abstractNumId w:val="1"/>
  </w:num>
  <w:num w:numId="13">
    <w:abstractNumId w:val="7"/>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474"/>
    <w:rsid w:val="00517E90"/>
    <w:rsid w:val="007F4523"/>
    <w:rsid w:val="00A31C74"/>
    <w:rsid w:val="00A64C2F"/>
    <w:rsid w:val="00AC0474"/>
    <w:rsid w:val="00D744E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87073C-886A-4DD9-B978-00505ABF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474"/>
  </w:style>
  <w:style w:type="paragraph" w:styleId="Heading1">
    <w:name w:val="heading 1"/>
    <w:basedOn w:val="Normal"/>
    <w:next w:val="Normal"/>
    <w:link w:val="Heading1Char"/>
    <w:qFormat/>
    <w:rsid w:val="00AC0474"/>
    <w:pPr>
      <w:keepNext/>
      <w:tabs>
        <w:tab w:val="left" w:pos="720"/>
        <w:tab w:val="left" w:pos="1440"/>
        <w:tab w:val="left" w:pos="2070"/>
      </w:tabs>
      <w:spacing w:after="0" w:line="240" w:lineRule="auto"/>
      <w:outlineLvl w:val="0"/>
    </w:pPr>
    <w:rPr>
      <w:rFonts w:ascii="Comic Sans MS" w:eastAsia="Times New Roman" w:hAnsi="Comic Sans MS" w:cs="Times New Roman"/>
      <w:b/>
      <w:sz w:val="20"/>
      <w:szCs w:val="20"/>
      <w:u w:val="single"/>
      <w:lang w:val="en-GB"/>
    </w:rPr>
  </w:style>
  <w:style w:type="paragraph" w:styleId="Heading2">
    <w:name w:val="heading 2"/>
    <w:basedOn w:val="Normal"/>
    <w:next w:val="Normal"/>
    <w:link w:val="Heading2Char"/>
    <w:uiPriority w:val="9"/>
    <w:semiHidden/>
    <w:unhideWhenUsed/>
    <w:qFormat/>
    <w:rsid w:val="00AC04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0474"/>
    <w:rPr>
      <w:rFonts w:ascii="Comic Sans MS" w:eastAsia="Times New Roman" w:hAnsi="Comic Sans MS" w:cs="Times New Roman"/>
      <w:b/>
      <w:sz w:val="20"/>
      <w:szCs w:val="20"/>
      <w:u w:val="single"/>
      <w:lang w:val="en-GB"/>
    </w:rPr>
  </w:style>
  <w:style w:type="paragraph" w:styleId="ListParagraph">
    <w:name w:val="List Paragraph"/>
    <w:basedOn w:val="Normal"/>
    <w:uiPriority w:val="34"/>
    <w:qFormat/>
    <w:rsid w:val="00AC0474"/>
    <w:pPr>
      <w:ind w:left="720"/>
      <w:contextualSpacing/>
    </w:pPr>
  </w:style>
  <w:style w:type="paragraph" w:customStyle="1" w:styleId="Default">
    <w:name w:val="Default"/>
    <w:rsid w:val="00AC0474"/>
    <w:pPr>
      <w:autoSpaceDE w:val="0"/>
      <w:autoSpaceDN w:val="0"/>
      <w:adjustRightInd w:val="0"/>
      <w:spacing w:after="0" w:line="240" w:lineRule="auto"/>
    </w:pPr>
    <w:rPr>
      <w:rFonts w:ascii="Arial" w:eastAsia="Calibri" w:hAnsi="Arial" w:cs="Arial"/>
      <w:color w:val="000000"/>
      <w:sz w:val="24"/>
      <w:szCs w:val="24"/>
    </w:rPr>
  </w:style>
  <w:style w:type="paragraph" w:styleId="BodyTextIndent3">
    <w:name w:val="Body Text Indent 3"/>
    <w:basedOn w:val="Normal"/>
    <w:link w:val="BodyTextIndent3Char"/>
    <w:rsid w:val="00AC0474"/>
    <w:pPr>
      <w:tabs>
        <w:tab w:val="left" w:pos="720"/>
      </w:tabs>
      <w:spacing w:after="0" w:line="240" w:lineRule="auto"/>
      <w:ind w:left="1440"/>
    </w:pPr>
    <w:rPr>
      <w:rFonts w:ascii="Comic Sans MS" w:eastAsia="Times New Roman" w:hAnsi="Comic Sans MS" w:cs="Times New Roman"/>
      <w:sz w:val="20"/>
      <w:szCs w:val="20"/>
      <w:lang w:val="en-US"/>
    </w:rPr>
  </w:style>
  <w:style w:type="character" w:customStyle="1" w:styleId="BodyTextIndent3Char">
    <w:name w:val="Body Text Indent 3 Char"/>
    <w:basedOn w:val="DefaultParagraphFont"/>
    <w:link w:val="BodyTextIndent3"/>
    <w:rsid w:val="00AC0474"/>
    <w:rPr>
      <w:rFonts w:ascii="Comic Sans MS" w:eastAsia="Times New Roman" w:hAnsi="Comic Sans MS" w:cs="Times New Roman"/>
      <w:sz w:val="20"/>
      <w:szCs w:val="20"/>
      <w:lang w:val="en-US"/>
    </w:rPr>
  </w:style>
  <w:style w:type="paragraph" w:styleId="BodyTextIndent2">
    <w:name w:val="Body Text Indent 2"/>
    <w:basedOn w:val="Normal"/>
    <w:link w:val="BodyTextIndent2Char"/>
    <w:rsid w:val="00AC0474"/>
    <w:pPr>
      <w:tabs>
        <w:tab w:val="left" w:pos="0"/>
        <w:tab w:val="left" w:pos="720"/>
        <w:tab w:val="left" w:pos="2070"/>
      </w:tabs>
      <w:spacing w:after="0" w:line="240" w:lineRule="auto"/>
      <w:ind w:left="720"/>
    </w:pPr>
    <w:rPr>
      <w:rFonts w:ascii="Comic Sans MS" w:eastAsia="Times New Roman" w:hAnsi="Comic Sans MS" w:cs="Times New Roman"/>
      <w:sz w:val="20"/>
      <w:szCs w:val="20"/>
      <w:lang w:val="en-US"/>
    </w:rPr>
  </w:style>
  <w:style w:type="character" w:customStyle="1" w:styleId="BodyTextIndent2Char">
    <w:name w:val="Body Text Indent 2 Char"/>
    <w:basedOn w:val="DefaultParagraphFont"/>
    <w:link w:val="BodyTextIndent2"/>
    <w:rsid w:val="00AC0474"/>
    <w:rPr>
      <w:rFonts w:ascii="Comic Sans MS" w:eastAsia="Times New Roman" w:hAnsi="Comic Sans MS" w:cs="Times New Roman"/>
      <w:sz w:val="20"/>
      <w:szCs w:val="20"/>
      <w:lang w:val="en-US"/>
    </w:rPr>
  </w:style>
  <w:style w:type="paragraph" w:styleId="ListBullet">
    <w:name w:val="List Bullet"/>
    <w:basedOn w:val="Normal"/>
    <w:rsid w:val="00AC0474"/>
    <w:pPr>
      <w:numPr>
        <w:numId w:val="6"/>
      </w:numPr>
      <w:spacing w:after="0" w:line="240" w:lineRule="auto"/>
    </w:pPr>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AC0474"/>
    <w:rPr>
      <w:rFonts w:asciiTheme="majorHAnsi" w:eastAsiaTheme="majorEastAsia" w:hAnsiTheme="majorHAnsi" w:cstheme="majorBidi"/>
      <w:color w:val="2E74B5" w:themeColor="accent1" w:themeShade="BF"/>
      <w:sz w:val="26"/>
      <w:szCs w:val="26"/>
    </w:rPr>
  </w:style>
  <w:style w:type="paragraph" w:styleId="BodyTextIndent">
    <w:name w:val="Body Text Indent"/>
    <w:basedOn w:val="Normal"/>
    <w:link w:val="BodyTextIndentChar"/>
    <w:uiPriority w:val="99"/>
    <w:semiHidden/>
    <w:unhideWhenUsed/>
    <w:rsid w:val="00AC0474"/>
    <w:pPr>
      <w:spacing w:after="120"/>
      <w:ind w:left="283"/>
    </w:pPr>
  </w:style>
  <w:style w:type="character" w:customStyle="1" w:styleId="BodyTextIndentChar">
    <w:name w:val="Body Text Indent Char"/>
    <w:basedOn w:val="DefaultParagraphFont"/>
    <w:link w:val="BodyTextIndent"/>
    <w:uiPriority w:val="99"/>
    <w:semiHidden/>
    <w:rsid w:val="00AC0474"/>
  </w:style>
  <w:style w:type="paragraph" w:styleId="BodyText">
    <w:name w:val="Body Text"/>
    <w:basedOn w:val="Normal"/>
    <w:link w:val="BodyTextChar"/>
    <w:uiPriority w:val="99"/>
    <w:semiHidden/>
    <w:unhideWhenUsed/>
    <w:rsid w:val="00AC0474"/>
    <w:pPr>
      <w:spacing w:after="120"/>
    </w:pPr>
  </w:style>
  <w:style w:type="character" w:customStyle="1" w:styleId="BodyTextChar">
    <w:name w:val="Body Text Char"/>
    <w:basedOn w:val="DefaultParagraphFont"/>
    <w:link w:val="BodyText"/>
    <w:uiPriority w:val="99"/>
    <w:semiHidden/>
    <w:rsid w:val="00AC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png@01D0E191.23D9ACC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Dublin City Council</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Bryan</dc:creator>
  <cp:keywords/>
  <dc:description/>
  <cp:lastModifiedBy>Greg Bryan</cp:lastModifiedBy>
  <cp:revision>3</cp:revision>
  <dcterms:created xsi:type="dcterms:W3CDTF">2023-03-09T08:23:00Z</dcterms:created>
  <dcterms:modified xsi:type="dcterms:W3CDTF">2023-03-09T08:37:00Z</dcterms:modified>
</cp:coreProperties>
</file>