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6398C" w14:textId="5C0CB299" w:rsidR="005043AA" w:rsidRDefault="005043AA" w:rsidP="00DE2560">
      <w:pPr>
        <w:spacing w:after="100"/>
        <w:rPr>
          <w:rFonts w:ascii="Arial" w:hAnsi="Arial" w:cs="Arial"/>
          <w:b/>
          <w:sz w:val="24"/>
          <w:szCs w:val="24"/>
        </w:rPr>
      </w:pPr>
      <w:r w:rsidRPr="006B682C">
        <w:rPr>
          <w:rFonts w:ascii="Arial" w:eastAsia="Times New Roman" w:hAnsi="Arial" w:cs="Arial"/>
          <w:noProof/>
          <w:lang w:eastAsia="en-IE"/>
        </w:rPr>
        <w:drawing>
          <wp:inline distT="0" distB="0" distL="0" distR="0" wp14:anchorId="79BBA4CA" wp14:editId="145F41FC">
            <wp:extent cx="5331230" cy="1440873"/>
            <wp:effectExtent l="0" t="0" r="0" b="0"/>
            <wp:docPr id="2" name="Picture 2"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_RGB[1]"/>
                    <pic:cNvPicPr>
                      <a:picLocks noChangeAspect="1" noChangeArrowheads="1"/>
                    </pic:cNvPicPr>
                  </pic:nvPicPr>
                  <pic:blipFill>
                    <a:blip r:embed="rId8">
                      <a:extLst>
                        <a:ext uri="{28A0092B-C50C-407E-A947-70E740481C1C}">
                          <a14:useLocalDpi xmlns:a14="http://schemas.microsoft.com/office/drawing/2010/main" val="0"/>
                        </a:ext>
                      </a:extLst>
                    </a:blip>
                    <a:srcRect t="23473" r="18018" b="18935"/>
                    <a:stretch>
                      <a:fillRect/>
                    </a:stretch>
                  </pic:blipFill>
                  <pic:spPr bwMode="auto">
                    <a:xfrm>
                      <a:off x="0" y="0"/>
                      <a:ext cx="5343625" cy="1444223"/>
                    </a:xfrm>
                    <a:prstGeom prst="rect">
                      <a:avLst/>
                    </a:prstGeom>
                    <a:noFill/>
                    <a:ln>
                      <a:noFill/>
                    </a:ln>
                  </pic:spPr>
                </pic:pic>
              </a:graphicData>
            </a:graphic>
          </wp:inline>
        </w:drawing>
      </w:r>
    </w:p>
    <w:p w14:paraId="6E2C7D8F" w14:textId="3BD9B8F5" w:rsidR="0013244B" w:rsidRDefault="0013244B" w:rsidP="00DE2560">
      <w:pPr>
        <w:spacing w:after="100"/>
        <w:rPr>
          <w:rFonts w:ascii="Arial" w:hAnsi="Arial" w:cs="Arial"/>
          <w:b/>
          <w:sz w:val="24"/>
          <w:szCs w:val="24"/>
        </w:rPr>
      </w:pPr>
    </w:p>
    <w:p w14:paraId="57F6938E" w14:textId="54D1AA1A" w:rsidR="0013244B" w:rsidRPr="005F70F7" w:rsidRDefault="0013244B" w:rsidP="0013244B">
      <w:pPr>
        <w:jc w:val="center"/>
        <w:rPr>
          <w:rFonts w:ascii="Arial" w:eastAsia="Times New Roman" w:hAnsi="Arial" w:cs="Arial"/>
          <w:b/>
          <w:sz w:val="40"/>
          <w:lang w:val="en-GB"/>
        </w:rPr>
      </w:pPr>
      <w:r>
        <w:rPr>
          <w:rFonts w:ascii="Arial" w:eastAsia="Times New Roman" w:hAnsi="Arial" w:cs="Arial"/>
          <w:b/>
          <w:sz w:val="40"/>
          <w:lang w:val="en-GB"/>
        </w:rPr>
        <w:t>Variation (No. 5</w:t>
      </w:r>
      <w:r w:rsidRPr="005F70F7">
        <w:rPr>
          <w:rFonts w:ascii="Arial" w:eastAsia="Times New Roman" w:hAnsi="Arial" w:cs="Arial"/>
          <w:b/>
          <w:sz w:val="40"/>
          <w:lang w:val="en-GB"/>
        </w:rPr>
        <w:t>)</w:t>
      </w:r>
    </w:p>
    <w:p w14:paraId="2987A5A6" w14:textId="77777777" w:rsidR="0013244B" w:rsidRPr="005F70F7" w:rsidRDefault="0013244B" w:rsidP="0013244B">
      <w:pPr>
        <w:jc w:val="center"/>
        <w:rPr>
          <w:rFonts w:ascii="Arial" w:eastAsia="Times New Roman" w:hAnsi="Arial" w:cs="Arial"/>
          <w:b/>
          <w:sz w:val="40"/>
          <w:lang w:val="en-GB"/>
        </w:rPr>
      </w:pPr>
    </w:p>
    <w:p w14:paraId="53EA9CD5" w14:textId="1FA815A7" w:rsidR="0013244B" w:rsidRPr="005F70F7" w:rsidRDefault="005E4E81" w:rsidP="0013244B">
      <w:pPr>
        <w:jc w:val="center"/>
        <w:rPr>
          <w:rFonts w:ascii="Arial" w:eastAsia="Times New Roman" w:hAnsi="Arial" w:cs="Arial"/>
          <w:b/>
          <w:sz w:val="40"/>
          <w:lang w:val="en-GB"/>
        </w:rPr>
      </w:pPr>
      <w:r w:rsidRPr="005F70F7">
        <w:rPr>
          <w:rFonts w:ascii="Arial" w:eastAsia="Times New Roman" w:hAnsi="Arial" w:cs="Arial"/>
          <w:b/>
          <w:sz w:val="40"/>
          <w:lang w:val="en-GB"/>
        </w:rPr>
        <w:t>Of</w:t>
      </w:r>
      <w:r w:rsidR="0013244B" w:rsidRPr="005F70F7">
        <w:rPr>
          <w:rFonts w:ascii="Arial" w:eastAsia="Times New Roman" w:hAnsi="Arial" w:cs="Arial"/>
          <w:b/>
          <w:sz w:val="40"/>
          <w:lang w:val="en-GB"/>
        </w:rPr>
        <w:t xml:space="preserve"> the</w:t>
      </w:r>
    </w:p>
    <w:p w14:paraId="6A8F74D0" w14:textId="77777777" w:rsidR="0013244B" w:rsidRPr="005F70F7" w:rsidRDefault="0013244B" w:rsidP="0013244B">
      <w:pPr>
        <w:jc w:val="center"/>
        <w:rPr>
          <w:rFonts w:ascii="Arial" w:eastAsia="Times New Roman" w:hAnsi="Arial" w:cs="Arial"/>
          <w:b/>
          <w:sz w:val="40"/>
          <w:lang w:val="en-GB"/>
        </w:rPr>
      </w:pPr>
    </w:p>
    <w:p w14:paraId="1C813CCF" w14:textId="77777777" w:rsidR="0013244B" w:rsidRPr="005F70F7" w:rsidRDefault="0013244B" w:rsidP="0013244B">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14:paraId="2506A499" w14:textId="77777777" w:rsidR="0013244B" w:rsidRPr="005F70F7" w:rsidRDefault="0013244B" w:rsidP="0013244B">
      <w:pPr>
        <w:jc w:val="center"/>
        <w:rPr>
          <w:rFonts w:ascii="Arial" w:eastAsia="Times New Roman" w:hAnsi="Arial" w:cs="Arial"/>
          <w:b/>
          <w:sz w:val="40"/>
          <w:lang w:val="en-GB"/>
        </w:rPr>
      </w:pPr>
    </w:p>
    <w:p w14:paraId="0AE53B6E" w14:textId="77777777" w:rsidR="0013244B" w:rsidRPr="005F70F7" w:rsidRDefault="0013244B" w:rsidP="0013244B">
      <w:pPr>
        <w:jc w:val="center"/>
        <w:rPr>
          <w:rFonts w:ascii="Arial" w:eastAsia="Times New Roman" w:hAnsi="Arial" w:cs="Arial"/>
          <w:b/>
          <w:sz w:val="40"/>
          <w:lang w:val="en-GB"/>
        </w:rPr>
      </w:pPr>
    </w:p>
    <w:p w14:paraId="1725A722" w14:textId="77777777" w:rsidR="0013244B" w:rsidRPr="005F70F7" w:rsidRDefault="0013244B" w:rsidP="0013244B">
      <w:pPr>
        <w:jc w:val="center"/>
        <w:rPr>
          <w:rFonts w:ascii="Arial" w:eastAsia="Times New Roman" w:hAnsi="Arial" w:cs="Arial"/>
          <w:b/>
          <w:sz w:val="40"/>
          <w:lang w:val="en-GB"/>
        </w:rPr>
      </w:pPr>
    </w:p>
    <w:p w14:paraId="1A89715C" w14:textId="1A4970B9" w:rsidR="0013244B" w:rsidRPr="005F70F7" w:rsidRDefault="0013244B" w:rsidP="0013244B">
      <w:pPr>
        <w:jc w:val="center"/>
        <w:rPr>
          <w:rFonts w:ascii="Arial" w:eastAsia="Times New Roman" w:hAnsi="Arial" w:cs="Arial"/>
          <w:b/>
          <w:sz w:val="40"/>
          <w:lang w:val="en-GB"/>
        </w:rPr>
      </w:pPr>
      <w:r w:rsidRPr="005F70F7">
        <w:rPr>
          <w:rFonts w:ascii="Arial" w:eastAsia="Times New Roman" w:hAnsi="Arial" w:cs="Arial"/>
          <w:b/>
          <w:sz w:val="40"/>
          <w:lang w:val="en-GB"/>
        </w:rPr>
        <w:t>2022</w:t>
      </w:r>
      <w:r>
        <w:rPr>
          <w:rFonts w:ascii="Arial" w:eastAsia="Times New Roman" w:hAnsi="Arial" w:cs="Arial"/>
          <w:b/>
          <w:sz w:val="40"/>
          <w:lang w:val="en-GB"/>
        </w:rPr>
        <w:t>-2028</w:t>
      </w:r>
    </w:p>
    <w:p w14:paraId="25CE9E21" w14:textId="77777777" w:rsidR="0013244B" w:rsidRDefault="0013244B" w:rsidP="0013244B">
      <w:pPr>
        <w:rPr>
          <w:rFonts w:ascii="Arial" w:eastAsia="Times New Roman" w:hAnsi="Arial" w:cs="Arial"/>
          <w:lang w:val="en-GB"/>
        </w:rPr>
      </w:pPr>
    </w:p>
    <w:p w14:paraId="02952B50" w14:textId="77777777" w:rsidR="0013244B" w:rsidRDefault="0013244B" w:rsidP="0013244B">
      <w:pPr>
        <w:rPr>
          <w:rFonts w:ascii="Arial" w:eastAsia="Times New Roman" w:hAnsi="Arial" w:cs="Arial"/>
          <w:lang w:val="en-GB"/>
        </w:rPr>
      </w:pPr>
    </w:p>
    <w:p w14:paraId="2A9958F6" w14:textId="77777777" w:rsidR="0013244B" w:rsidRDefault="0013244B" w:rsidP="00DE2560">
      <w:pPr>
        <w:spacing w:after="100"/>
        <w:rPr>
          <w:rFonts w:ascii="Arial" w:hAnsi="Arial" w:cs="Arial"/>
          <w:b/>
          <w:sz w:val="24"/>
          <w:szCs w:val="24"/>
        </w:rPr>
      </w:pPr>
    </w:p>
    <w:p w14:paraId="7C523B58" w14:textId="0A608BDB" w:rsidR="0013244B" w:rsidRDefault="0013244B">
      <w:pPr>
        <w:spacing w:after="160" w:line="259" w:lineRule="auto"/>
        <w:rPr>
          <w:rFonts w:ascii="Arial" w:hAnsi="Arial" w:cs="Arial"/>
          <w:b/>
          <w:sz w:val="24"/>
          <w:szCs w:val="24"/>
        </w:rPr>
      </w:pPr>
      <w:r>
        <w:rPr>
          <w:rFonts w:ascii="Arial" w:hAnsi="Arial" w:cs="Arial"/>
          <w:b/>
          <w:sz w:val="24"/>
          <w:szCs w:val="24"/>
        </w:rPr>
        <w:br w:type="page"/>
      </w:r>
    </w:p>
    <w:p w14:paraId="51785276" w14:textId="4D3BD4BA" w:rsidR="00DE2560" w:rsidRPr="003A6FD3" w:rsidRDefault="00DE2560" w:rsidP="00DE2560">
      <w:pPr>
        <w:spacing w:after="100"/>
        <w:rPr>
          <w:rFonts w:ascii="Arial" w:hAnsi="Arial" w:cs="Arial"/>
          <w:b/>
          <w:sz w:val="24"/>
          <w:szCs w:val="24"/>
        </w:rPr>
      </w:pPr>
      <w:r w:rsidRPr="003A6FD3">
        <w:rPr>
          <w:rFonts w:ascii="Arial" w:hAnsi="Arial" w:cs="Arial"/>
          <w:b/>
          <w:sz w:val="24"/>
          <w:szCs w:val="24"/>
        </w:rPr>
        <w:lastRenderedPageBreak/>
        <w:t xml:space="preserve">VARIATION (NO. </w:t>
      </w:r>
      <w:r w:rsidR="004E6B4D">
        <w:rPr>
          <w:rFonts w:ascii="Arial" w:hAnsi="Arial" w:cs="Arial"/>
          <w:b/>
          <w:sz w:val="24"/>
          <w:szCs w:val="24"/>
        </w:rPr>
        <w:t>5</w:t>
      </w:r>
      <w:r w:rsidRPr="003A6FD3">
        <w:rPr>
          <w:rFonts w:ascii="Arial" w:hAnsi="Arial" w:cs="Arial"/>
          <w:b/>
          <w:sz w:val="24"/>
          <w:szCs w:val="24"/>
        </w:rPr>
        <w:t>) OF THE DUBLIN CITY DEVELOPMENT PLAN 2022 – 2028</w:t>
      </w:r>
    </w:p>
    <w:p w14:paraId="10005B07" w14:textId="77777777" w:rsidR="00F34763" w:rsidRPr="003A6FD3" w:rsidRDefault="00F34763" w:rsidP="00DE2560">
      <w:pPr>
        <w:spacing w:after="100"/>
        <w:rPr>
          <w:rFonts w:ascii="Arial" w:hAnsi="Arial" w:cs="Arial"/>
          <w:b/>
          <w:sz w:val="24"/>
          <w:szCs w:val="24"/>
        </w:rPr>
      </w:pPr>
    </w:p>
    <w:p w14:paraId="78B0CD11" w14:textId="13C0857B" w:rsidR="00F34763" w:rsidRPr="003A6FD3" w:rsidRDefault="00F34763" w:rsidP="00F34763">
      <w:pPr>
        <w:pBdr>
          <w:bottom w:val="single" w:sz="12" w:space="1" w:color="auto"/>
        </w:pBdr>
        <w:jc w:val="both"/>
        <w:rPr>
          <w:rFonts w:ascii="Arial" w:hAnsi="Arial" w:cs="Arial"/>
          <w:b/>
          <w:bCs/>
          <w:sz w:val="24"/>
          <w:szCs w:val="24"/>
        </w:rPr>
      </w:pPr>
      <w:r w:rsidRPr="003A6FD3">
        <w:rPr>
          <w:rFonts w:ascii="Arial" w:hAnsi="Arial" w:cs="Arial"/>
          <w:b/>
          <w:bCs/>
          <w:sz w:val="24"/>
          <w:szCs w:val="24"/>
        </w:rPr>
        <w:t xml:space="preserve">RE: </w:t>
      </w:r>
      <w:r w:rsidRPr="003A6FD3">
        <w:rPr>
          <w:rFonts w:ascii="Arial" w:hAnsi="Arial" w:cs="Arial"/>
          <w:b/>
          <w:bCs/>
          <w:sz w:val="24"/>
          <w:szCs w:val="24"/>
        </w:rPr>
        <w:tab/>
      </w:r>
      <w:r w:rsidR="00AB740F">
        <w:rPr>
          <w:rFonts w:ascii="Arial" w:hAnsi="Arial" w:cs="Arial"/>
          <w:b/>
          <w:bCs/>
          <w:sz w:val="24"/>
          <w:szCs w:val="24"/>
        </w:rPr>
        <w:t>T</w:t>
      </w:r>
      <w:r w:rsidR="00083A96" w:rsidRPr="003A6FD3">
        <w:rPr>
          <w:rFonts w:ascii="Arial" w:hAnsi="Arial" w:cs="Arial"/>
          <w:b/>
          <w:bCs/>
          <w:sz w:val="24"/>
          <w:szCs w:val="24"/>
        </w:rPr>
        <w:t>o</w:t>
      </w:r>
      <w:r w:rsidRPr="003A6FD3">
        <w:rPr>
          <w:rFonts w:ascii="Arial" w:hAnsi="Arial" w:cs="Arial"/>
          <w:b/>
          <w:bCs/>
          <w:sz w:val="24"/>
          <w:szCs w:val="24"/>
        </w:rPr>
        <w:t xml:space="preserve"> </w:t>
      </w:r>
      <w:r w:rsidR="00605E79">
        <w:rPr>
          <w:rFonts w:ascii="Arial" w:hAnsi="Arial" w:cs="Arial"/>
          <w:b/>
          <w:bCs/>
          <w:sz w:val="24"/>
          <w:szCs w:val="24"/>
        </w:rPr>
        <w:t xml:space="preserve">make a technical update to the </w:t>
      </w:r>
      <w:r w:rsidR="00AB740F">
        <w:rPr>
          <w:rFonts w:ascii="Arial" w:hAnsi="Arial" w:cs="Arial"/>
          <w:b/>
          <w:bCs/>
          <w:sz w:val="24"/>
          <w:szCs w:val="24"/>
        </w:rPr>
        <w:t xml:space="preserve">2022 – 2028 </w:t>
      </w:r>
      <w:r w:rsidR="00605E79">
        <w:rPr>
          <w:rFonts w:ascii="Arial" w:hAnsi="Arial" w:cs="Arial"/>
          <w:b/>
          <w:bCs/>
          <w:sz w:val="24"/>
          <w:szCs w:val="24"/>
        </w:rPr>
        <w:t xml:space="preserve">Dublin City Development Plan in relation to ‘Build-To-Rent’ </w:t>
      </w:r>
      <w:r w:rsidR="00563DCC">
        <w:rPr>
          <w:rFonts w:ascii="Arial" w:hAnsi="Arial" w:cs="Arial"/>
          <w:b/>
          <w:bCs/>
          <w:sz w:val="24"/>
          <w:szCs w:val="24"/>
        </w:rPr>
        <w:t xml:space="preserve">(BTR) </w:t>
      </w:r>
      <w:r w:rsidR="00605E79">
        <w:rPr>
          <w:rFonts w:ascii="Arial" w:hAnsi="Arial" w:cs="Arial"/>
          <w:b/>
          <w:bCs/>
          <w:sz w:val="24"/>
          <w:szCs w:val="24"/>
        </w:rPr>
        <w:t xml:space="preserve">accommodation following the publication of </w:t>
      </w:r>
      <w:r w:rsidR="00563DCC">
        <w:rPr>
          <w:rFonts w:ascii="Arial" w:hAnsi="Arial" w:cs="Arial"/>
          <w:b/>
          <w:bCs/>
          <w:sz w:val="24"/>
          <w:szCs w:val="24"/>
        </w:rPr>
        <w:t>the guidelines ‘</w:t>
      </w:r>
      <w:r w:rsidR="00083A96" w:rsidRPr="003A6FD3">
        <w:rPr>
          <w:rFonts w:ascii="Arial" w:hAnsi="Arial" w:cs="Arial"/>
          <w:b/>
          <w:bCs/>
          <w:sz w:val="24"/>
          <w:szCs w:val="24"/>
        </w:rPr>
        <w:t>Sustainable Urban Housing: Design Standards for New Apartments – Guidelines for Planning</w:t>
      </w:r>
      <w:r w:rsidR="00D864D1">
        <w:rPr>
          <w:rFonts w:ascii="Arial" w:hAnsi="Arial" w:cs="Arial"/>
          <w:b/>
          <w:bCs/>
          <w:sz w:val="24"/>
          <w:szCs w:val="24"/>
        </w:rPr>
        <w:t xml:space="preserve"> Authorities, DHLGH, 2023</w:t>
      </w:r>
      <w:r w:rsidR="008940ED">
        <w:rPr>
          <w:rFonts w:ascii="Arial" w:hAnsi="Arial" w:cs="Arial"/>
          <w:b/>
          <w:bCs/>
          <w:sz w:val="24"/>
          <w:szCs w:val="24"/>
        </w:rPr>
        <w:t xml:space="preserve">, with transitional arrangements.  </w:t>
      </w:r>
    </w:p>
    <w:p w14:paraId="667B8C42" w14:textId="1592BA3F" w:rsidR="00757C50" w:rsidRPr="00FE0BF4" w:rsidRDefault="005043AA" w:rsidP="00757C50">
      <w:pPr>
        <w:jc w:val="both"/>
        <w:rPr>
          <w:rFonts w:ascii="Arial" w:hAnsi="Arial" w:cs="Arial"/>
          <w:b/>
          <w:bCs/>
          <w:sz w:val="24"/>
          <w:szCs w:val="24"/>
        </w:rPr>
      </w:pPr>
      <w:r>
        <w:rPr>
          <w:rFonts w:ascii="Arial" w:hAnsi="Arial" w:cs="Arial"/>
          <w:b/>
          <w:bCs/>
          <w:sz w:val="24"/>
          <w:szCs w:val="24"/>
        </w:rPr>
        <w:t>The Variation</w:t>
      </w:r>
      <w:r w:rsidR="00757C50" w:rsidRPr="00FE0BF4">
        <w:rPr>
          <w:rFonts w:ascii="Arial" w:hAnsi="Arial" w:cs="Arial"/>
          <w:b/>
          <w:bCs/>
          <w:sz w:val="24"/>
          <w:szCs w:val="24"/>
        </w:rPr>
        <w:t>:</w:t>
      </w:r>
    </w:p>
    <w:p w14:paraId="63B2D8F7" w14:textId="59A1855E" w:rsidR="00207C26" w:rsidRDefault="000E69FC" w:rsidP="007D7B16">
      <w:pPr>
        <w:spacing w:after="0" w:line="240" w:lineRule="auto"/>
        <w:rPr>
          <w:rFonts w:ascii="Arial" w:hAnsi="Arial" w:cs="Arial"/>
          <w:sz w:val="24"/>
          <w:szCs w:val="24"/>
        </w:rPr>
      </w:pPr>
      <w:r>
        <w:rPr>
          <w:rFonts w:ascii="Arial" w:hAnsi="Arial" w:cs="Arial"/>
          <w:bCs/>
          <w:color w:val="000000"/>
          <w:sz w:val="24"/>
          <w:szCs w:val="24"/>
        </w:rPr>
        <w:t>The City Council resolved to make</w:t>
      </w:r>
      <w:r w:rsidR="00B079DB" w:rsidRPr="00B079DB">
        <w:rPr>
          <w:rFonts w:ascii="Arial" w:hAnsi="Arial" w:cs="Arial"/>
          <w:bCs/>
          <w:color w:val="000000"/>
          <w:sz w:val="24"/>
          <w:szCs w:val="24"/>
        </w:rPr>
        <w:t xml:space="preserve"> Variation No. 5 of the Dublin City Development Plan 2022</w:t>
      </w:r>
      <w:r w:rsidR="00B079DB">
        <w:rPr>
          <w:rFonts w:ascii="Arial" w:hAnsi="Arial" w:cs="Arial"/>
          <w:bCs/>
          <w:color w:val="000000"/>
          <w:sz w:val="24"/>
          <w:szCs w:val="24"/>
        </w:rPr>
        <w:t>-2028</w:t>
      </w:r>
      <w:r w:rsidR="00B079DB" w:rsidRPr="00B079DB">
        <w:rPr>
          <w:rFonts w:ascii="Arial" w:hAnsi="Arial" w:cs="Arial"/>
          <w:bCs/>
          <w:color w:val="000000"/>
          <w:sz w:val="24"/>
          <w:szCs w:val="24"/>
        </w:rPr>
        <w:t xml:space="preserve"> at its meeting on the 8</w:t>
      </w:r>
      <w:r w:rsidR="00B079DB" w:rsidRPr="00B079DB">
        <w:rPr>
          <w:rFonts w:ascii="Arial" w:hAnsi="Arial" w:cs="Arial"/>
          <w:bCs/>
          <w:color w:val="000000"/>
          <w:sz w:val="24"/>
          <w:szCs w:val="24"/>
          <w:vertAlign w:val="superscript"/>
        </w:rPr>
        <w:t>th</w:t>
      </w:r>
      <w:r w:rsidR="00B079DB" w:rsidRPr="00B079DB">
        <w:rPr>
          <w:rFonts w:ascii="Arial" w:hAnsi="Arial" w:cs="Arial"/>
          <w:bCs/>
          <w:color w:val="000000"/>
          <w:sz w:val="24"/>
          <w:szCs w:val="24"/>
        </w:rPr>
        <w:t xml:space="preserve"> April 2024</w:t>
      </w:r>
      <w:r w:rsidR="00B079DB">
        <w:rPr>
          <w:rFonts w:ascii="Arial" w:hAnsi="Arial" w:cs="Arial"/>
          <w:bCs/>
          <w:color w:val="000000"/>
          <w:sz w:val="24"/>
          <w:szCs w:val="24"/>
        </w:rPr>
        <w:t>.  Variation No. 5</w:t>
      </w:r>
      <w:r w:rsidR="00B079DB" w:rsidRPr="00B079DB">
        <w:rPr>
          <w:rFonts w:ascii="Arial" w:hAnsi="Arial" w:cs="Arial"/>
          <w:bCs/>
          <w:color w:val="000000"/>
          <w:sz w:val="24"/>
          <w:szCs w:val="24"/>
        </w:rPr>
        <w:t xml:space="preserve"> is effective from 8</w:t>
      </w:r>
      <w:r w:rsidR="00B079DB" w:rsidRPr="00B079DB">
        <w:rPr>
          <w:rFonts w:ascii="Arial" w:hAnsi="Arial" w:cs="Arial"/>
          <w:bCs/>
          <w:color w:val="000000"/>
          <w:sz w:val="24"/>
          <w:szCs w:val="24"/>
          <w:vertAlign w:val="superscript"/>
        </w:rPr>
        <w:t>th</w:t>
      </w:r>
      <w:r w:rsidR="00B079DB" w:rsidRPr="00B079DB">
        <w:rPr>
          <w:rFonts w:ascii="Arial" w:hAnsi="Arial" w:cs="Arial"/>
          <w:bCs/>
          <w:color w:val="000000"/>
          <w:sz w:val="24"/>
          <w:szCs w:val="24"/>
        </w:rPr>
        <w:t xml:space="preserve"> April 2024.  </w:t>
      </w:r>
      <w:r w:rsidR="005043AA">
        <w:rPr>
          <w:rFonts w:ascii="Arial" w:hAnsi="Arial" w:cs="Arial"/>
          <w:sz w:val="24"/>
          <w:szCs w:val="24"/>
        </w:rPr>
        <w:t>Variation No. 5 varies</w:t>
      </w:r>
      <w:r w:rsidR="005043AA" w:rsidRPr="00422F31">
        <w:rPr>
          <w:rFonts w:ascii="Arial" w:hAnsi="Arial" w:cs="Arial"/>
          <w:sz w:val="24"/>
          <w:szCs w:val="24"/>
        </w:rPr>
        <w:t xml:space="preserve"> the Dublin City Development Plan 2022-2028</w:t>
      </w:r>
      <w:r w:rsidR="005043AA">
        <w:rPr>
          <w:rFonts w:ascii="Arial" w:hAnsi="Arial" w:cs="Arial"/>
          <w:sz w:val="24"/>
          <w:szCs w:val="24"/>
        </w:rPr>
        <w:t xml:space="preserve"> as follows: </w:t>
      </w:r>
    </w:p>
    <w:p w14:paraId="24864749" w14:textId="77777777" w:rsidR="007D7B16" w:rsidRDefault="007D7B16" w:rsidP="007D7B16">
      <w:pPr>
        <w:spacing w:after="0" w:line="240" w:lineRule="auto"/>
        <w:rPr>
          <w:rFonts w:ascii="Arial" w:hAnsi="Arial" w:cs="Arial"/>
          <w:bCs/>
          <w:sz w:val="24"/>
          <w:szCs w:val="24"/>
        </w:rPr>
      </w:pPr>
    </w:p>
    <w:p w14:paraId="2CC0A14F" w14:textId="724C8538" w:rsidR="00757C50" w:rsidRDefault="00207C26" w:rsidP="00757C50">
      <w:pPr>
        <w:jc w:val="both"/>
        <w:rPr>
          <w:rFonts w:ascii="Arial" w:hAnsi="Arial" w:cs="Arial"/>
          <w:bCs/>
          <w:sz w:val="24"/>
          <w:szCs w:val="24"/>
        </w:rPr>
      </w:pPr>
      <w:r w:rsidRPr="00207C26">
        <w:rPr>
          <w:rFonts w:ascii="Arial" w:hAnsi="Arial" w:cs="Arial"/>
          <w:b/>
          <w:bCs/>
          <w:sz w:val="24"/>
          <w:szCs w:val="24"/>
        </w:rPr>
        <w:t>Part A: A</w:t>
      </w:r>
      <w:r w:rsidR="00757C50" w:rsidRPr="00207C26">
        <w:rPr>
          <w:rFonts w:ascii="Arial" w:hAnsi="Arial" w:cs="Arial"/>
          <w:b/>
          <w:bCs/>
          <w:sz w:val="24"/>
          <w:szCs w:val="24"/>
        </w:rPr>
        <w:t xml:space="preserve"> technical update in relation</w:t>
      </w:r>
      <w:r w:rsidR="00047981" w:rsidRPr="00207C26">
        <w:rPr>
          <w:rFonts w:ascii="Arial" w:hAnsi="Arial" w:cs="Arial"/>
          <w:b/>
          <w:bCs/>
          <w:sz w:val="24"/>
          <w:szCs w:val="24"/>
        </w:rPr>
        <w:t xml:space="preserve"> to ‘Build-To-Rent</w:t>
      </w:r>
      <w:r w:rsidR="00A556E4" w:rsidRPr="00207C26">
        <w:rPr>
          <w:rFonts w:ascii="Arial" w:hAnsi="Arial" w:cs="Arial"/>
          <w:b/>
          <w:bCs/>
          <w:sz w:val="24"/>
          <w:szCs w:val="24"/>
        </w:rPr>
        <w:t>’</w:t>
      </w:r>
      <w:r w:rsidR="00047981" w:rsidRPr="00207C26">
        <w:rPr>
          <w:rFonts w:ascii="Arial" w:hAnsi="Arial" w:cs="Arial"/>
          <w:b/>
          <w:bCs/>
          <w:sz w:val="24"/>
          <w:szCs w:val="24"/>
        </w:rPr>
        <w:t xml:space="preserve"> </w:t>
      </w:r>
      <w:r w:rsidR="00513941" w:rsidRPr="00207C26">
        <w:rPr>
          <w:rFonts w:ascii="Arial" w:hAnsi="Arial" w:cs="Arial"/>
          <w:b/>
          <w:bCs/>
          <w:sz w:val="24"/>
          <w:szCs w:val="24"/>
        </w:rPr>
        <w:t xml:space="preserve">(BTR) </w:t>
      </w:r>
      <w:r w:rsidR="00047981" w:rsidRPr="00207C26">
        <w:rPr>
          <w:rFonts w:ascii="Arial" w:hAnsi="Arial" w:cs="Arial"/>
          <w:b/>
          <w:bCs/>
          <w:sz w:val="24"/>
          <w:szCs w:val="24"/>
        </w:rPr>
        <w:t>accommodation</w:t>
      </w:r>
      <w:r w:rsidR="00B34714" w:rsidRPr="00207C26">
        <w:rPr>
          <w:rFonts w:ascii="Arial" w:hAnsi="Arial" w:cs="Arial"/>
          <w:b/>
          <w:bCs/>
          <w:sz w:val="24"/>
          <w:szCs w:val="24"/>
        </w:rPr>
        <w:t xml:space="preserve"> on foot of the publication of Sustainable Urban Housing: Design Standards for New Apartments – Guidelines for P</w:t>
      </w:r>
      <w:r w:rsidR="00D864D1">
        <w:rPr>
          <w:rFonts w:ascii="Arial" w:hAnsi="Arial" w:cs="Arial"/>
          <w:b/>
          <w:bCs/>
          <w:sz w:val="24"/>
          <w:szCs w:val="24"/>
        </w:rPr>
        <w:t>lanning Authorities, DHLGH, 2023</w:t>
      </w:r>
      <w:r w:rsidR="00B34714">
        <w:rPr>
          <w:rFonts w:ascii="Arial" w:hAnsi="Arial" w:cs="Arial"/>
          <w:bCs/>
          <w:sz w:val="24"/>
          <w:szCs w:val="24"/>
        </w:rPr>
        <w:t>.</w:t>
      </w:r>
    </w:p>
    <w:p w14:paraId="5BB9B80B" w14:textId="6203B0AC" w:rsidR="00440E5A" w:rsidRPr="00207C26" w:rsidRDefault="00440E5A" w:rsidP="00440E5A">
      <w:pPr>
        <w:rPr>
          <w:rFonts w:ascii="Arial" w:hAnsi="Arial" w:cs="Arial"/>
          <w:b/>
          <w:bCs/>
          <w:sz w:val="24"/>
          <w:szCs w:val="24"/>
        </w:rPr>
      </w:pPr>
      <w:r w:rsidRPr="00207C26">
        <w:rPr>
          <w:rFonts w:ascii="Arial" w:hAnsi="Arial" w:cs="Arial"/>
          <w:b/>
          <w:bCs/>
          <w:sz w:val="24"/>
          <w:szCs w:val="24"/>
        </w:rPr>
        <w:t xml:space="preserve">Part B: </w:t>
      </w:r>
      <w:r w:rsidR="00563DCC">
        <w:rPr>
          <w:rFonts w:ascii="Arial" w:hAnsi="Arial" w:cs="Arial"/>
          <w:b/>
          <w:bCs/>
          <w:sz w:val="24"/>
          <w:szCs w:val="24"/>
        </w:rPr>
        <w:t>Insert new Appendix 19 into Volume 2: Appendices of the Dublin City Development Plan 2022 – 2028 containing t</w:t>
      </w:r>
      <w:r w:rsidRPr="00207C26">
        <w:rPr>
          <w:rFonts w:ascii="Arial" w:hAnsi="Arial" w:cs="Arial"/>
          <w:b/>
          <w:sz w:val="24"/>
          <w:szCs w:val="24"/>
        </w:rPr>
        <w:t>ransitional arrangements for Build-To-Rent accommodation</w:t>
      </w:r>
      <w:r>
        <w:rPr>
          <w:rFonts w:ascii="Arial" w:hAnsi="Arial" w:cs="Arial"/>
          <w:b/>
          <w:sz w:val="24"/>
          <w:szCs w:val="24"/>
        </w:rPr>
        <w:t xml:space="preserve"> proposals</w:t>
      </w:r>
      <w:r w:rsidRPr="00207C26">
        <w:rPr>
          <w:rFonts w:ascii="Arial" w:hAnsi="Arial" w:cs="Arial"/>
          <w:b/>
          <w:sz w:val="24"/>
          <w:szCs w:val="24"/>
        </w:rPr>
        <w:t xml:space="preserve"> that are subject to consideration within the planning system on or before 21st December 2022.  </w:t>
      </w:r>
    </w:p>
    <w:p w14:paraId="4CD70D2E" w14:textId="14CD7D3A" w:rsidR="003A75BA" w:rsidRPr="00FE0BF4" w:rsidRDefault="0013244B" w:rsidP="003A75BA">
      <w:pPr>
        <w:rPr>
          <w:rFonts w:ascii="Arial" w:hAnsi="Arial" w:cs="Arial"/>
          <w:b/>
          <w:bCs/>
          <w:sz w:val="24"/>
          <w:szCs w:val="24"/>
        </w:rPr>
      </w:pPr>
      <w:r>
        <w:rPr>
          <w:rFonts w:ascii="Arial" w:hAnsi="Arial" w:cs="Arial"/>
          <w:b/>
          <w:bCs/>
          <w:sz w:val="24"/>
          <w:szCs w:val="24"/>
        </w:rPr>
        <w:t>Purpose of the</w:t>
      </w:r>
      <w:r w:rsidR="003A75BA" w:rsidRPr="00FE0BF4">
        <w:rPr>
          <w:rFonts w:ascii="Arial" w:hAnsi="Arial" w:cs="Arial"/>
          <w:b/>
          <w:bCs/>
          <w:sz w:val="24"/>
          <w:szCs w:val="24"/>
        </w:rPr>
        <w:t xml:space="preserve"> Variation: </w:t>
      </w:r>
    </w:p>
    <w:p w14:paraId="71216FC1" w14:textId="42D6ACA9" w:rsidR="003A75BA" w:rsidRDefault="0013244B" w:rsidP="003A75BA">
      <w:pPr>
        <w:rPr>
          <w:rFonts w:ascii="Arial" w:hAnsi="Arial" w:cs="Arial"/>
          <w:bCs/>
          <w:sz w:val="24"/>
          <w:szCs w:val="24"/>
        </w:rPr>
      </w:pPr>
      <w:r>
        <w:rPr>
          <w:rFonts w:ascii="Arial" w:hAnsi="Arial" w:cs="Arial"/>
          <w:sz w:val="24"/>
          <w:szCs w:val="24"/>
        </w:rPr>
        <w:t>The purpose of the</w:t>
      </w:r>
      <w:r w:rsidR="003A75BA">
        <w:rPr>
          <w:rFonts w:ascii="Arial" w:hAnsi="Arial" w:cs="Arial"/>
          <w:sz w:val="24"/>
          <w:szCs w:val="24"/>
        </w:rPr>
        <w:t xml:space="preserve"> variation is to </w:t>
      </w:r>
      <w:r w:rsidR="003A75BA">
        <w:rPr>
          <w:rFonts w:ascii="Arial" w:hAnsi="Arial" w:cs="Arial"/>
          <w:bCs/>
          <w:sz w:val="24"/>
          <w:szCs w:val="24"/>
        </w:rPr>
        <w:t>make</w:t>
      </w:r>
      <w:r w:rsidR="003A75BA" w:rsidRPr="00FE0BF4">
        <w:rPr>
          <w:rFonts w:ascii="Arial" w:hAnsi="Arial" w:cs="Arial"/>
          <w:bCs/>
          <w:sz w:val="24"/>
          <w:szCs w:val="24"/>
        </w:rPr>
        <w:t xml:space="preserve"> a technical update in relation</w:t>
      </w:r>
      <w:r w:rsidR="003A75BA">
        <w:rPr>
          <w:rFonts w:ascii="Arial" w:hAnsi="Arial" w:cs="Arial"/>
          <w:bCs/>
          <w:sz w:val="24"/>
          <w:szCs w:val="24"/>
        </w:rPr>
        <w:t xml:space="preserve"> to ‘Build-To-Rent’ (BTR) accommodation</w:t>
      </w:r>
      <w:r w:rsidR="003A75BA" w:rsidRPr="00FE0BF4">
        <w:rPr>
          <w:rFonts w:ascii="Arial" w:hAnsi="Arial" w:cs="Arial"/>
          <w:sz w:val="24"/>
          <w:szCs w:val="24"/>
        </w:rPr>
        <w:t xml:space="preserve"> </w:t>
      </w:r>
      <w:r w:rsidR="003A75BA">
        <w:rPr>
          <w:rFonts w:ascii="Arial" w:hAnsi="Arial" w:cs="Arial"/>
          <w:sz w:val="24"/>
          <w:szCs w:val="24"/>
        </w:rPr>
        <w:t xml:space="preserve">having regard to and ensuring compliance with Section 28 Guidelines </w:t>
      </w:r>
      <w:r w:rsidR="003A75BA" w:rsidRPr="00FE0BF4">
        <w:rPr>
          <w:rFonts w:ascii="Arial" w:hAnsi="Arial" w:cs="Arial"/>
          <w:sz w:val="24"/>
          <w:szCs w:val="24"/>
        </w:rPr>
        <w:t xml:space="preserve">as set out in </w:t>
      </w:r>
      <w:r w:rsidR="003A75BA" w:rsidRPr="00FE0BF4">
        <w:rPr>
          <w:rFonts w:ascii="Arial" w:hAnsi="Arial" w:cs="Arial"/>
          <w:bCs/>
          <w:sz w:val="24"/>
          <w:szCs w:val="24"/>
        </w:rPr>
        <w:t>DHLGH document ‘Sustainable Urban Housing: Design Standards for New Apartments – Guidelines for P</w:t>
      </w:r>
      <w:r w:rsidR="00891D10">
        <w:rPr>
          <w:rFonts w:ascii="Arial" w:hAnsi="Arial" w:cs="Arial"/>
          <w:bCs/>
          <w:sz w:val="24"/>
          <w:szCs w:val="24"/>
        </w:rPr>
        <w:t xml:space="preserve">lanning Authorities </w:t>
      </w:r>
      <w:r w:rsidR="00D864D1">
        <w:rPr>
          <w:rFonts w:ascii="Arial" w:hAnsi="Arial" w:cs="Arial"/>
          <w:bCs/>
          <w:sz w:val="24"/>
          <w:szCs w:val="24"/>
        </w:rPr>
        <w:t>2023</w:t>
      </w:r>
      <w:r w:rsidR="00893EE9">
        <w:rPr>
          <w:rFonts w:ascii="Arial" w:hAnsi="Arial" w:cs="Arial"/>
          <w:bCs/>
          <w:sz w:val="24"/>
          <w:szCs w:val="24"/>
        </w:rPr>
        <w:t xml:space="preserve"> including transitional arrangements</w:t>
      </w:r>
      <w:r w:rsidR="00440E5A">
        <w:rPr>
          <w:rFonts w:ascii="Arial" w:hAnsi="Arial" w:cs="Arial"/>
          <w:bCs/>
          <w:sz w:val="24"/>
          <w:szCs w:val="24"/>
        </w:rPr>
        <w:t xml:space="preserve">.  </w:t>
      </w:r>
    </w:p>
    <w:p w14:paraId="5EDEBB34" w14:textId="77777777" w:rsidR="007D7B16" w:rsidRDefault="007D7B16" w:rsidP="007D7B16">
      <w:pPr>
        <w:spacing w:after="100"/>
        <w:rPr>
          <w:rFonts w:ascii="Arial" w:hAnsi="Arial" w:cs="Arial"/>
          <w:b/>
          <w:sz w:val="24"/>
          <w:szCs w:val="24"/>
        </w:rPr>
      </w:pPr>
      <w:r>
        <w:rPr>
          <w:rFonts w:ascii="Arial" w:hAnsi="Arial" w:cs="Arial"/>
          <w:b/>
          <w:sz w:val="24"/>
          <w:szCs w:val="24"/>
        </w:rPr>
        <w:t>Environmental Determinations</w:t>
      </w:r>
    </w:p>
    <w:p w14:paraId="21C09ED2" w14:textId="77777777" w:rsidR="007D7B16" w:rsidRPr="00000034" w:rsidRDefault="007D7B16" w:rsidP="007D7B16">
      <w:pPr>
        <w:spacing w:after="100" w:line="240" w:lineRule="auto"/>
        <w:rPr>
          <w:rFonts w:ascii="Arial" w:hAnsi="Arial" w:cs="Arial"/>
          <w:sz w:val="24"/>
          <w:szCs w:val="24"/>
        </w:rPr>
      </w:pPr>
      <w:r>
        <w:rPr>
          <w:rFonts w:ascii="Arial" w:hAnsi="Arial" w:cs="Arial"/>
          <w:sz w:val="24"/>
          <w:szCs w:val="24"/>
        </w:rPr>
        <w:t>The Variation was</w:t>
      </w:r>
      <w:r w:rsidRPr="00000034">
        <w:rPr>
          <w:rFonts w:ascii="Arial" w:hAnsi="Arial" w:cs="Arial"/>
          <w:sz w:val="24"/>
          <w:szCs w:val="24"/>
        </w:rPr>
        <w:t xml:space="preserve"> screened as part of the processes for Strategic Environmental Assessment (SEA) and Appropriate Assessment (AA).  </w:t>
      </w:r>
    </w:p>
    <w:p w14:paraId="7599AB76" w14:textId="77777777" w:rsidR="007D7B16" w:rsidRPr="00000034" w:rsidRDefault="007D7B16" w:rsidP="007D7B16">
      <w:pPr>
        <w:spacing w:after="100" w:line="240" w:lineRule="auto"/>
        <w:rPr>
          <w:rFonts w:ascii="Arial" w:hAnsi="Arial" w:cs="Arial"/>
          <w:sz w:val="24"/>
          <w:szCs w:val="24"/>
        </w:rPr>
      </w:pPr>
    </w:p>
    <w:p w14:paraId="2353D185" w14:textId="77777777" w:rsidR="007D7B16" w:rsidRPr="00000034" w:rsidRDefault="007D7B16" w:rsidP="007D7B16">
      <w:pPr>
        <w:spacing w:after="0" w:line="240" w:lineRule="auto"/>
        <w:rPr>
          <w:rFonts w:ascii="Arial" w:eastAsia="Times New Roman" w:hAnsi="Arial" w:cs="Arial"/>
          <w:sz w:val="24"/>
          <w:szCs w:val="24"/>
          <w:lang w:eastAsia="en-IE"/>
        </w:rPr>
      </w:pPr>
      <w:r w:rsidRPr="00000034">
        <w:rPr>
          <w:rFonts w:ascii="Arial" w:eastAsia="Times New Roman" w:hAnsi="Arial" w:cs="Arial"/>
          <w:sz w:val="24"/>
          <w:szCs w:val="24"/>
          <w:lang w:eastAsia="en-IE"/>
        </w:rPr>
        <w:t>A S</w:t>
      </w:r>
      <w:r>
        <w:rPr>
          <w:rFonts w:ascii="Arial" w:eastAsia="Times New Roman" w:hAnsi="Arial" w:cs="Arial"/>
          <w:sz w:val="24"/>
          <w:szCs w:val="24"/>
          <w:lang w:eastAsia="en-IE"/>
        </w:rPr>
        <w:t xml:space="preserve">trategic </w:t>
      </w:r>
      <w:r w:rsidRPr="00000034">
        <w:rPr>
          <w:rFonts w:ascii="Arial" w:eastAsia="Times New Roman" w:hAnsi="Arial" w:cs="Arial"/>
          <w:sz w:val="24"/>
          <w:szCs w:val="24"/>
          <w:lang w:eastAsia="en-IE"/>
        </w:rPr>
        <w:t>E</w:t>
      </w:r>
      <w:r>
        <w:rPr>
          <w:rFonts w:ascii="Arial" w:eastAsia="Times New Roman" w:hAnsi="Arial" w:cs="Arial"/>
          <w:sz w:val="24"/>
          <w:szCs w:val="24"/>
          <w:lang w:eastAsia="en-IE"/>
        </w:rPr>
        <w:t xml:space="preserve">nvironmental </w:t>
      </w:r>
      <w:r w:rsidRPr="00000034">
        <w:rPr>
          <w:rFonts w:ascii="Arial" w:eastAsia="Times New Roman" w:hAnsi="Arial" w:cs="Arial"/>
          <w:sz w:val="24"/>
          <w:szCs w:val="24"/>
          <w:lang w:eastAsia="en-IE"/>
        </w:rPr>
        <w:t>A</w:t>
      </w:r>
      <w:r>
        <w:rPr>
          <w:rFonts w:ascii="Arial" w:eastAsia="Times New Roman" w:hAnsi="Arial" w:cs="Arial"/>
          <w:sz w:val="24"/>
          <w:szCs w:val="24"/>
          <w:lang w:eastAsia="en-IE"/>
        </w:rPr>
        <w:t>ssessment (SEA)</w:t>
      </w:r>
      <w:r w:rsidRPr="00000034">
        <w:rPr>
          <w:rFonts w:ascii="Arial" w:eastAsia="Times New Roman" w:hAnsi="Arial" w:cs="Arial"/>
          <w:sz w:val="24"/>
          <w:szCs w:val="24"/>
          <w:lang w:eastAsia="en-IE"/>
        </w:rPr>
        <w:t xml:space="preserve"> Screening Report on</w:t>
      </w:r>
      <w:r>
        <w:rPr>
          <w:rFonts w:ascii="Arial" w:eastAsia="Times New Roman" w:hAnsi="Arial" w:cs="Arial"/>
          <w:sz w:val="24"/>
          <w:szCs w:val="24"/>
          <w:lang w:eastAsia="en-IE"/>
        </w:rPr>
        <w:t xml:space="preserve"> the Variation was</w:t>
      </w:r>
      <w:r w:rsidRPr="00000034">
        <w:rPr>
          <w:rFonts w:ascii="Arial" w:eastAsia="Times New Roman" w:hAnsi="Arial" w:cs="Arial"/>
          <w:sz w:val="24"/>
          <w:szCs w:val="24"/>
          <w:lang w:eastAsia="en-IE"/>
        </w:rPr>
        <w:t xml:space="preserve"> prepared and</w:t>
      </w:r>
      <w:r>
        <w:rPr>
          <w:rFonts w:ascii="Arial" w:eastAsia="Times New Roman" w:hAnsi="Arial" w:cs="Arial"/>
          <w:sz w:val="24"/>
          <w:szCs w:val="24"/>
          <w:lang w:eastAsia="en-IE"/>
        </w:rPr>
        <w:t xml:space="preserve"> a determination was made that a </w:t>
      </w:r>
      <w:r w:rsidRPr="00000034">
        <w:rPr>
          <w:rFonts w:ascii="Arial" w:eastAsia="Times New Roman" w:hAnsi="Arial" w:cs="Arial"/>
          <w:sz w:val="24"/>
          <w:szCs w:val="24"/>
          <w:lang w:eastAsia="en-IE"/>
        </w:rPr>
        <w:t xml:space="preserve">full SEA is not required to be undertaken.  The SEA </w:t>
      </w:r>
      <w:r>
        <w:rPr>
          <w:rFonts w:ascii="Arial" w:eastAsia="Times New Roman" w:hAnsi="Arial" w:cs="Arial"/>
          <w:sz w:val="24"/>
          <w:szCs w:val="24"/>
          <w:lang w:eastAsia="en-IE"/>
        </w:rPr>
        <w:t xml:space="preserve">Screening </w:t>
      </w:r>
      <w:r w:rsidRPr="00000034">
        <w:rPr>
          <w:rFonts w:ascii="Arial" w:eastAsia="Times New Roman" w:hAnsi="Arial" w:cs="Arial"/>
          <w:sz w:val="24"/>
          <w:szCs w:val="24"/>
          <w:lang w:eastAsia="en-IE"/>
        </w:rPr>
        <w:t xml:space="preserve">Report and Determination is available as a separate document.  </w:t>
      </w:r>
    </w:p>
    <w:p w14:paraId="61999456" w14:textId="77777777" w:rsidR="007D7B16" w:rsidRPr="00000034" w:rsidRDefault="007D7B16" w:rsidP="007D7B16">
      <w:pPr>
        <w:spacing w:after="0" w:line="240" w:lineRule="auto"/>
        <w:rPr>
          <w:rFonts w:ascii="Arial" w:eastAsia="Times New Roman" w:hAnsi="Arial" w:cs="Arial"/>
          <w:sz w:val="24"/>
          <w:szCs w:val="24"/>
          <w:lang w:eastAsia="en-IE"/>
        </w:rPr>
      </w:pPr>
    </w:p>
    <w:p w14:paraId="5BDC89D9" w14:textId="77777777" w:rsidR="007D7B16" w:rsidRDefault="007D7B16" w:rsidP="007D7B16">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t xml:space="preserve">An Appropriate Assessment (AA) Screening Report on the Variation was </w:t>
      </w:r>
      <w:r w:rsidRPr="00000034">
        <w:rPr>
          <w:rFonts w:ascii="Arial" w:eastAsia="Times New Roman" w:hAnsi="Arial" w:cs="Arial"/>
          <w:sz w:val="24"/>
          <w:szCs w:val="24"/>
          <w:lang w:eastAsia="en-IE"/>
        </w:rPr>
        <w:t>prepared</w:t>
      </w:r>
      <w:r>
        <w:rPr>
          <w:rFonts w:ascii="Arial" w:eastAsia="Times New Roman" w:hAnsi="Arial" w:cs="Arial"/>
          <w:sz w:val="24"/>
          <w:szCs w:val="24"/>
          <w:lang w:eastAsia="en-IE"/>
        </w:rPr>
        <w:t xml:space="preserve"> and this is presented as a separate document</w:t>
      </w:r>
      <w:r w:rsidRPr="00000034">
        <w:rPr>
          <w:rFonts w:ascii="Arial" w:eastAsia="Times New Roman" w:hAnsi="Arial" w:cs="Arial"/>
          <w:sz w:val="24"/>
          <w:szCs w:val="24"/>
          <w:lang w:eastAsia="en-IE"/>
        </w:rPr>
        <w:t xml:space="preserve">.  The </w:t>
      </w:r>
      <w:r>
        <w:rPr>
          <w:rFonts w:ascii="Arial" w:eastAsia="Times New Roman" w:hAnsi="Arial" w:cs="Arial"/>
          <w:sz w:val="24"/>
          <w:szCs w:val="24"/>
          <w:lang w:eastAsia="en-IE"/>
        </w:rPr>
        <w:t>Appropriate Assessment (</w:t>
      </w:r>
      <w:r w:rsidRPr="00000034">
        <w:rPr>
          <w:rFonts w:ascii="Arial" w:eastAsia="Times New Roman" w:hAnsi="Arial" w:cs="Arial"/>
          <w:sz w:val="24"/>
          <w:szCs w:val="24"/>
          <w:lang w:eastAsia="en-IE"/>
        </w:rPr>
        <w:t>AA</w:t>
      </w:r>
      <w:r>
        <w:rPr>
          <w:rFonts w:ascii="Arial" w:eastAsia="Times New Roman" w:hAnsi="Arial" w:cs="Arial"/>
          <w:sz w:val="24"/>
          <w:szCs w:val="24"/>
          <w:lang w:eastAsia="en-IE"/>
        </w:rPr>
        <w:t>)</w:t>
      </w:r>
      <w:r w:rsidRPr="00000034">
        <w:rPr>
          <w:rFonts w:ascii="Arial" w:eastAsia="Times New Roman" w:hAnsi="Arial" w:cs="Arial"/>
          <w:sz w:val="24"/>
          <w:szCs w:val="24"/>
          <w:lang w:eastAsia="en-IE"/>
        </w:rPr>
        <w:t xml:space="preserve"> Co</w:t>
      </w:r>
      <w:r>
        <w:rPr>
          <w:rFonts w:ascii="Arial" w:eastAsia="Times New Roman" w:hAnsi="Arial" w:cs="Arial"/>
          <w:sz w:val="24"/>
          <w:szCs w:val="24"/>
          <w:lang w:eastAsia="en-IE"/>
        </w:rPr>
        <w:t xml:space="preserve">nclusion and Determination is that </w:t>
      </w:r>
      <w:r w:rsidRPr="0089549F">
        <w:rPr>
          <w:rFonts w:ascii="Arial" w:eastAsia="Times New Roman" w:hAnsi="Arial" w:cs="Arial"/>
          <w:sz w:val="24"/>
          <w:szCs w:val="24"/>
          <w:lang w:eastAsia="en-IE"/>
        </w:rPr>
        <w:t>Variation No. 5</w:t>
      </w:r>
      <w:r w:rsidRPr="00000034">
        <w:rPr>
          <w:rFonts w:ascii="Arial" w:eastAsia="Times New Roman" w:hAnsi="Arial" w:cs="Arial"/>
          <w:sz w:val="24"/>
          <w:szCs w:val="24"/>
          <w:lang w:eastAsia="en-IE"/>
        </w:rPr>
        <w:t xml:space="preserve"> does not require an Appropriate Assessment or the preparation of a Natura Impact Report (NIR).  </w:t>
      </w:r>
    </w:p>
    <w:p w14:paraId="36A1252C" w14:textId="77777777" w:rsidR="007D7B16" w:rsidRDefault="007D7B16" w:rsidP="007D7B16">
      <w:pPr>
        <w:spacing w:after="100"/>
        <w:rPr>
          <w:rFonts w:ascii="Arial" w:hAnsi="Arial" w:cs="Arial"/>
          <w:b/>
          <w:sz w:val="24"/>
          <w:szCs w:val="24"/>
        </w:rPr>
      </w:pPr>
    </w:p>
    <w:p w14:paraId="1CE92523" w14:textId="000C3463" w:rsidR="00C530A6" w:rsidRDefault="00C530A6" w:rsidP="00C530A6">
      <w:pPr>
        <w:jc w:val="both"/>
        <w:rPr>
          <w:rFonts w:ascii="Arial" w:hAnsi="Arial" w:cs="Arial"/>
          <w:b/>
          <w:sz w:val="28"/>
          <w:szCs w:val="28"/>
        </w:rPr>
      </w:pPr>
      <w:bookmarkStart w:id="0" w:name="_GoBack"/>
      <w:bookmarkEnd w:id="0"/>
      <w:r>
        <w:rPr>
          <w:rFonts w:ascii="Arial" w:hAnsi="Arial" w:cs="Arial"/>
          <w:b/>
          <w:sz w:val="28"/>
          <w:szCs w:val="28"/>
        </w:rPr>
        <w:lastRenderedPageBreak/>
        <w:t>Variation No. 5 of the Dublin City Development Plan 2022 - 2028</w:t>
      </w:r>
    </w:p>
    <w:p w14:paraId="2672CB2C" w14:textId="77777777" w:rsidR="00C530A6" w:rsidRDefault="00C530A6" w:rsidP="00C530A6">
      <w:pPr>
        <w:pBdr>
          <w:bottom w:val="single" w:sz="12" w:space="1" w:color="auto"/>
        </w:pBdr>
        <w:spacing w:line="240" w:lineRule="auto"/>
        <w:jc w:val="both"/>
        <w:rPr>
          <w:rFonts w:ascii="Arial" w:hAnsi="Arial" w:cs="Arial"/>
          <w:b/>
          <w:sz w:val="32"/>
          <w:szCs w:val="32"/>
        </w:rPr>
      </w:pPr>
    </w:p>
    <w:p w14:paraId="3C4058B6" w14:textId="77777777" w:rsidR="0045586C" w:rsidRDefault="0045586C" w:rsidP="00574980">
      <w:pPr>
        <w:spacing w:line="240" w:lineRule="auto"/>
        <w:jc w:val="both"/>
        <w:rPr>
          <w:rFonts w:ascii="Arial" w:hAnsi="Arial" w:cs="Arial"/>
          <w:b/>
          <w:sz w:val="24"/>
          <w:szCs w:val="24"/>
        </w:rPr>
      </w:pPr>
    </w:p>
    <w:p w14:paraId="048D5473" w14:textId="731D0B1D" w:rsidR="003B76E8" w:rsidRPr="00201A37" w:rsidRDefault="003B76E8" w:rsidP="00574980">
      <w:pPr>
        <w:spacing w:line="240" w:lineRule="auto"/>
        <w:jc w:val="both"/>
        <w:rPr>
          <w:rFonts w:ascii="Arial" w:hAnsi="Arial" w:cs="Arial"/>
          <w:b/>
          <w:bCs/>
          <w:sz w:val="24"/>
          <w:szCs w:val="24"/>
        </w:rPr>
      </w:pPr>
      <w:r w:rsidRPr="00201A37">
        <w:rPr>
          <w:rFonts w:ascii="Arial" w:hAnsi="Arial" w:cs="Arial"/>
          <w:b/>
          <w:sz w:val="24"/>
          <w:szCs w:val="24"/>
        </w:rPr>
        <w:t>Table of Contents</w:t>
      </w:r>
      <w:r w:rsidR="00F43FA4">
        <w:rPr>
          <w:rFonts w:ascii="Arial" w:hAnsi="Arial" w:cs="Arial"/>
          <w:b/>
          <w:sz w:val="24"/>
          <w:szCs w:val="24"/>
        </w:rPr>
        <w:t>, Volume 1</w:t>
      </w:r>
    </w:p>
    <w:p w14:paraId="3CED604C" w14:textId="1CB07541" w:rsidR="003B76E8" w:rsidRPr="00183527" w:rsidRDefault="00183527" w:rsidP="003B76E8">
      <w:pPr>
        <w:rPr>
          <w:rFonts w:ascii="Arial" w:hAnsi="Arial" w:cs="Arial"/>
          <w:color w:val="00B0F0"/>
          <w:sz w:val="24"/>
          <w:szCs w:val="24"/>
        </w:rPr>
      </w:pPr>
      <w:r>
        <w:rPr>
          <w:rFonts w:ascii="Arial" w:hAnsi="Arial" w:cs="Arial"/>
          <w:color w:val="00B0F0"/>
          <w:sz w:val="24"/>
          <w:szCs w:val="24"/>
        </w:rPr>
        <w:t>D</w:t>
      </w:r>
      <w:r w:rsidR="00F659AD" w:rsidRPr="00183527">
        <w:rPr>
          <w:rFonts w:ascii="Arial" w:hAnsi="Arial" w:cs="Arial"/>
          <w:color w:val="00B0F0"/>
          <w:sz w:val="24"/>
          <w:szCs w:val="24"/>
        </w:rPr>
        <w:t>elete</w:t>
      </w:r>
      <w:r w:rsidR="003B76E8" w:rsidRPr="00183527">
        <w:rPr>
          <w:rFonts w:ascii="Arial" w:hAnsi="Arial" w:cs="Arial"/>
          <w:color w:val="00B0F0"/>
          <w:sz w:val="24"/>
          <w:szCs w:val="24"/>
        </w:rPr>
        <w:t xml:space="preserve"> the following</w:t>
      </w:r>
      <w:r w:rsidR="00CD4775" w:rsidRPr="00183527">
        <w:rPr>
          <w:rFonts w:ascii="Arial" w:hAnsi="Arial" w:cs="Arial"/>
          <w:color w:val="00B0F0"/>
          <w:sz w:val="24"/>
          <w:szCs w:val="24"/>
        </w:rPr>
        <w:t xml:space="preserve"> </w:t>
      </w:r>
      <w:r>
        <w:rPr>
          <w:rFonts w:ascii="Arial" w:hAnsi="Arial" w:cs="Arial"/>
          <w:color w:val="00B0F0"/>
          <w:sz w:val="24"/>
          <w:szCs w:val="24"/>
        </w:rPr>
        <w:t>text</w:t>
      </w:r>
      <w:r w:rsidR="000E69FC" w:rsidRPr="00183527">
        <w:rPr>
          <w:rFonts w:ascii="Arial" w:hAnsi="Arial" w:cs="Arial"/>
          <w:color w:val="00B0F0"/>
          <w:sz w:val="24"/>
          <w:szCs w:val="24"/>
        </w:rPr>
        <w:t xml:space="preserve"> </w:t>
      </w:r>
      <w:r w:rsidR="00CD4775" w:rsidRPr="00183527">
        <w:rPr>
          <w:rFonts w:ascii="Arial" w:hAnsi="Arial" w:cs="Arial"/>
          <w:color w:val="00B0F0"/>
          <w:sz w:val="24"/>
          <w:szCs w:val="24"/>
        </w:rPr>
        <w:t>from the Table of Contents</w:t>
      </w:r>
      <w:r>
        <w:rPr>
          <w:rFonts w:ascii="Arial" w:hAnsi="Arial" w:cs="Arial"/>
          <w:color w:val="00B0F0"/>
          <w:sz w:val="24"/>
          <w:szCs w:val="24"/>
        </w:rPr>
        <w:t xml:space="preserve"> in Volume 1</w:t>
      </w:r>
      <w:r w:rsidR="004234B1" w:rsidRPr="00183527">
        <w:rPr>
          <w:rFonts w:ascii="Arial" w:hAnsi="Arial" w:cs="Arial"/>
          <w:color w:val="00B0F0"/>
          <w:sz w:val="24"/>
          <w:szCs w:val="24"/>
        </w:rPr>
        <w:t xml:space="preserve"> as follows</w:t>
      </w:r>
      <w:r w:rsidR="00CD4775" w:rsidRPr="00183527">
        <w:rPr>
          <w:rFonts w:ascii="Arial" w:hAnsi="Arial" w:cs="Arial"/>
          <w:color w:val="00B0F0"/>
          <w:sz w:val="24"/>
          <w:szCs w:val="24"/>
        </w:rPr>
        <w:t>:</w:t>
      </w:r>
      <w:r w:rsidR="003B76E8" w:rsidRPr="00183527">
        <w:rPr>
          <w:rFonts w:ascii="Arial" w:hAnsi="Arial" w:cs="Arial"/>
          <w:color w:val="00B0F0"/>
          <w:sz w:val="24"/>
          <w:szCs w:val="24"/>
        </w:rPr>
        <w:t xml:space="preserve"> </w:t>
      </w:r>
    </w:p>
    <w:p w14:paraId="0E42463E" w14:textId="00489265" w:rsidR="00A4494B" w:rsidRPr="00183527" w:rsidRDefault="00A4494B" w:rsidP="003B76E8">
      <w:pPr>
        <w:rPr>
          <w:rFonts w:ascii="Arial" w:hAnsi="Arial" w:cs="Arial"/>
          <w:sz w:val="24"/>
          <w:szCs w:val="24"/>
        </w:rPr>
      </w:pPr>
      <w:r w:rsidRPr="00183527">
        <w:rPr>
          <w:rFonts w:ascii="Arial" w:hAnsi="Arial" w:cs="Arial"/>
          <w:sz w:val="24"/>
          <w:szCs w:val="24"/>
        </w:rPr>
        <w:t>Delete:</w:t>
      </w:r>
    </w:p>
    <w:p w14:paraId="79941700" w14:textId="7B98EFF9" w:rsidR="00AA73C5" w:rsidRPr="00183527" w:rsidRDefault="00AA73C5" w:rsidP="00AA73C5">
      <w:pPr>
        <w:jc w:val="both"/>
        <w:rPr>
          <w:rFonts w:ascii="Arial" w:hAnsi="Arial" w:cs="Arial"/>
          <w:bCs/>
          <w:sz w:val="24"/>
          <w:szCs w:val="24"/>
        </w:rPr>
      </w:pPr>
      <w:proofErr w:type="gramStart"/>
      <w:r w:rsidRPr="00183527">
        <w:rPr>
          <w:rFonts w:ascii="Arial" w:hAnsi="Arial" w:cs="Arial"/>
          <w:bCs/>
          <w:sz w:val="24"/>
          <w:szCs w:val="24"/>
        </w:rPr>
        <w:t>15.10  Build</w:t>
      </w:r>
      <w:proofErr w:type="gramEnd"/>
      <w:r w:rsidRPr="00183527">
        <w:rPr>
          <w:rFonts w:ascii="Arial" w:hAnsi="Arial" w:cs="Arial"/>
          <w:bCs/>
          <w:sz w:val="24"/>
          <w:szCs w:val="24"/>
        </w:rPr>
        <w:t xml:space="preserve"> to</w:t>
      </w:r>
      <w:r w:rsidR="009F599C" w:rsidRPr="00183527">
        <w:rPr>
          <w:rFonts w:ascii="Arial" w:hAnsi="Arial" w:cs="Arial"/>
          <w:bCs/>
          <w:sz w:val="24"/>
          <w:szCs w:val="24"/>
        </w:rPr>
        <w:t xml:space="preserve"> Rent Residential Development (B</w:t>
      </w:r>
      <w:r w:rsidRPr="00183527">
        <w:rPr>
          <w:rFonts w:ascii="Arial" w:hAnsi="Arial" w:cs="Arial"/>
          <w:bCs/>
          <w:sz w:val="24"/>
          <w:szCs w:val="24"/>
        </w:rPr>
        <w:t>TR)</w:t>
      </w:r>
      <w:r w:rsidR="009F599C" w:rsidRPr="00183527">
        <w:rPr>
          <w:rFonts w:ascii="Arial" w:hAnsi="Arial" w:cs="Arial"/>
          <w:bCs/>
          <w:sz w:val="24"/>
          <w:szCs w:val="24"/>
        </w:rPr>
        <w:t>………..602</w:t>
      </w:r>
    </w:p>
    <w:p w14:paraId="7B6A0A1C" w14:textId="17BC9F88" w:rsidR="0068139A" w:rsidRDefault="0068139A" w:rsidP="003B76E8">
      <w:pPr>
        <w:rPr>
          <w:rFonts w:ascii="Arial" w:hAnsi="Arial" w:cs="Arial"/>
          <w:sz w:val="20"/>
          <w:szCs w:val="20"/>
          <w:highlight w:val="lightGray"/>
        </w:rPr>
      </w:pPr>
    </w:p>
    <w:p w14:paraId="3A40E66C" w14:textId="77777777" w:rsidR="00EA2CFF" w:rsidRDefault="00EA2CFF" w:rsidP="003B76E8">
      <w:pPr>
        <w:rPr>
          <w:rFonts w:ascii="Arial" w:hAnsi="Arial" w:cs="Arial"/>
          <w:sz w:val="20"/>
          <w:szCs w:val="20"/>
          <w:highlight w:val="lightGray"/>
        </w:rPr>
      </w:pPr>
    </w:p>
    <w:p w14:paraId="7B00AB23" w14:textId="4E88CD66" w:rsidR="003B76E8" w:rsidRPr="00EA2CFF" w:rsidRDefault="00AA73C5" w:rsidP="003B76E8">
      <w:pPr>
        <w:jc w:val="both"/>
        <w:rPr>
          <w:rFonts w:ascii="Arial" w:hAnsi="Arial" w:cs="Arial"/>
          <w:b/>
          <w:bCs/>
          <w:sz w:val="24"/>
          <w:szCs w:val="24"/>
        </w:rPr>
      </w:pPr>
      <w:r w:rsidRPr="00EA2CFF">
        <w:rPr>
          <w:rFonts w:ascii="Arial" w:hAnsi="Arial" w:cs="Arial"/>
          <w:b/>
          <w:bCs/>
          <w:sz w:val="24"/>
          <w:szCs w:val="24"/>
        </w:rPr>
        <w:t>Chapter 5</w:t>
      </w:r>
      <w:r w:rsidR="009F599C" w:rsidRPr="00EA2CFF">
        <w:rPr>
          <w:rFonts w:ascii="Arial" w:hAnsi="Arial" w:cs="Arial"/>
          <w:b/>
          <w:bCs/>
          <w:sz w:val="24"/>
          <w:szCs w:val="24"/>
        </w:rPr>
        <w:t>:</w:t>
      </w:r>
      <w:r w:rsidRPr="00EA2CFF">
        <w:rPr>
          <w:rFonts w:ascii="Arial" w:hAnsi="Arial" w:cs="Arial"/>
          <w:b/>
          <w:bCs/>
          <w:sz w:val="24"/>
          <w:szCs w:val="24"/>
        </w:rPr>
        <w:t xml:space="preserve"> </w:t>
      </w:r>
      <w:r w:rsidR="00872E36" w:rsidRPr="00EA2CFF">
        <w:rPr>
          <w:rFonts w:ascii="Arial" w:hAnsi="Arial" w:cs="Arial"/>
          <w:b/>
          <w:bCs/>
          <w:sz w:val="24"/>
          <w:szCs w:val="24"/>
        </w:rPr>
        <w:t>Quality Housing and Sustainable Neighbourhoods</w:t>
      </w:r>
    </w:p>
    <w:p w14:paraId="6BCA90AE" w14:textId="7FFBB987" w:rsidR="00574980" w:rsidRDefault="007A078E" w:rsidP="00574980">
      <w:pPr>
        <w:pStyle w:val="Default"/>
        <w:rPr>
          <w:rFonts w:ascii="Arial" w:hAnsi="Arial" w:cs="Arial"/>
          <w:color w:val="00B0F0"/>
        </w:rPr>
      </w:pPr>
      <w:r>
        <w:rPr>
          <w:rFonts w:ascii="Arial" w:hAnsi="Arial" w:cs="Arial"/>
          <w:color w:val="00B0F0"/>
        </w:rPr>
        <w:t xml:space="preserve">Under </w:t>
      </w:r>
      <w:r w:rsidRPr="00C31EB7">
        <w:rPr>
          <w:rFonts w:ascii="Arial" w:hAnsi="Arial" w:cs="Arial"/>
          <w:color w:val="00B0F0"/>
        </w:rPr>
        <w:t xml:space="preserve">Section 5.5.7 </w:t>
      </w:r>
      <w:r>
        <w:rPr>
          <w:rFonts w:ascii="Arial" w:hAnsi="Arial" w:cs="Arial"/>
          <w:color w:val="00B0F0"/>
        </w:rPr>
        <w:t xml:space="preserve">Specific Housing Typologies, amend the second subtitle heading as follows: </w:t>
      </w:r>
    </w:p>
    <w:p w14:paraId="07F4CD82" w14:textId="557CB929" w:rsidR="007A078E" w:rsidRDefault="007A078E" w:rsidP="00574980">
      <w:pPr>
        <w:pStyle w:val="Default"/>
        <w:rPr>
          <w:rFonts w:ascii="Arial" w:hAnsi="Arial" w:cs="Arial"/>
          <w:color w:val="00B0F0"/>
        </w:rPr>
      </w:pPr>
    </w:p>
    <w:p w14:paraId="3DB2CF2A" w14:textId="5BF20295" w:rsidR="00574980" w:rsidRPr="00C31EB7" w:rsidRDefault="00574980" w:rsidP="00574980">
      <w:pPr>
        <w:spacing w:line="240" w:lineRule="auto"/>
        <w:rPr>
          <w:rFonts w:ascii="Arial" w:hAnsi="Arial" w:cs="Arial"/>
          <w:sz w:val="24"/>
          <w:szCs w:val="24"/>
        </w:rPr>
      </w:pPr>
      <w:r w:rsidRPr="00C31EB7">
        <w:rPr>
          <w:rFonts w:ascii="Arial" w:hAnsi="Arial" w:cs="Arial"/>
          <w:sz w:val="24"/>
          <w:szCs w:val="24"/>
        </w:rPr>
        <w:t>Delete:</w:t>
      </w:r>
    </w:p>
    <w:p w14:paraId="2B3D9FD3" w14:textId="1CEFE4F4" w:rsidR="00872E36" w:rsidRPr="00C31EB7" w:rsidRDefault="00872E36" w:rsidP="00574980">
      <w:pPr>
        <w:pStyle w:val="Heading4"/>
        <w:spacing w:line="240" w:lineRule="auto"/>
        <w:rPr>
          <w:rFonts w:ascii="Arial" w:hAnsi="Arial" w:cs="Arial"/>
          <w:i w:val="0"/>
          <w:color w:val="auto"/>
          <w:sz w:val="24"/>
          <w:szCs w:val="24"/>
        </w:rPr>
      </w:pPr>
      <w:r w:rsidRPr="00C31EB7">
        <w:rPr>
          <w:rFonts w:ascii="Arial" w:hAnsi="Arial" w:cs="Arial"/>
          <w:i w:val="0"/>
          <w:color w:val="auto"/>
          <w:sz w:val="24"/>
          <w:szCs w:val="24"/>
        </w:rPr>
        <w:t xml:space="preserve">Build to Rent (BTR) and Shared Accommodation </w:t>
      </w:r>
    </w:p>
    <w:p w14:paraId="6B5D6530" w14:textId="273BFBF5" w:rsidR="005C0BA8" w:rsidRPr="00C31EB7" w:rsidRDefault="005C0BA8" w:rsidP="00574980">
      <w:pPr>
        <w:spacing w:line="240" w:lineRule="auto"/>
        <w:rPr>
          <w:rFonts w:ascii="Arial" w:hAnsi="Arial" w:cs="Arial"/>
          <w:sz w:val="24"/>
          <w:szCs w:val="24"/>
        </w:rPr>
      </w:pPr>
    </w:p>
    <w:p w14:paraId="433DA5D8" w14:textId="6E59F00F" w:rsidR="00574980" w:rsidRPr="00C31EB7" w:rsidRDefault="00574980" w:rsidP="00574980">
      <w:pPr>
        <w:spacing w:line="240" w:lineRule="auto"/>
        <w:rPr>
          <w:rFonts w:ascii="Arial" w:hAnsi="Arial" w:cs="Arial"/>
          <w:sz w:val="24"/>
          <w:szCs w:val="24"/>
        </w:rPr>
      </w:pPr>
      <w:r w:rsidRPr="00C31EB7">
        <w:rPr>
          <w:rFonts w:ascii="Arial" w:hAnsi="Arial" w:cs="Arial"/>
          <w:sz w:val="24"/>
          <w:szCs w:val="24"/>
        </w:rPr>
        <w:t>Insert:</w:t>
      </w:r>
    </w:p>
    <w:p w14:paraId="3BB75D4D" w14:textId="77777777" w:rsidR="00574980" w:rsidRPr="00C31EB7" w:rsidRDefault="00574980" w:rsidP="00574980">
      <w:pPr>
        <w:pStyle w:val="Heading4"/>
        <w:spacing w:line="240" w:lineRule="auto"/>
        <w:rPr>
          <w:rFonts w:ascii="Arial" w:hAnsi="Arial" w:cs="Arial"/>
          <w:i w:val="0"/>
          <w:color w:val="auto"/>
          <w:sz w:val="24"/>
          <w:szCs w:val="24"/>
        </w:rPr>
      </w:pPr>
      <w:r w:rsidRPr="00C31EB7">
        <w:rPr>
          <w:rFonts w:ascii="Arial" w:hAnsi="Arial" w:cs="Arial"/>
          <w:i w:val="0"/>
          <w:color w:val="auto"/>
          <w:sz w:val="24"/>
          <w:szCs w:val="24"/>
        </w:rPr>
        <w:t xml:space="preserve">Shared Accommodation </w:t>
      </w:r>
    </w:p>
    <w:p w14:paraId="4A87182D" w14:textId="553E63A4" w:rsidR="00574980" w:rsidRDefault="00574980" w:rsidP="00872E36">
      <w:pPr>
        <w:rPr>
          <w:rFonts w:ascii="Arial" w:hAnsi="Arial" w:cs="Arial"/>
          <w:sz w:val="24"/>
          <w:szCs w:val="24"/>
        </w:rPr>
      </w:pPr>
    </w:p>
    <w:p w14:paraId="558176C6" w14:textId="77777777" w:rsidR="0078298A" w:rsidRPr="00C31EB7" w:rsidRDefault="0078298A" w:rsidP="00872E36">
      <w:pPr>
        <w:rPr>
          <w:rFonts w:ascii="Arial" w:hAnsi="Arial" w:cs="Arial"/>
          <w:sz w:val="24"/>
          <w:szCs w:val="24"/>
        </w:rPr>
      </w:pPr>
    </w:p>
    <w:p w14:paraId="0D7B762F" w14:textId="4912DB34" w:rsidR="00F43FA4" w:rsidRPr="00C31EB7" w:rsidRDefault="00690725" w:rsidP="00F43FA4">
      <w:pPr>
        <w:pStyle w:val="Default"/>
        <w:rPr>
          <w:rFonts w:ascii="Arial" w:hAnsi="Arial" w:cs="Arial"/>
          <w:color w:val="00B0F0"/>
        </w:rPr>
      </w:pPr>
      <w:r>
        <w:rPr>
          <w:rFonts w:ascii="Arial" w:hAnsi="Arial" w:cs="Arial"/>
          <w:color w:val="00B0F0"/>
        </w:rPr>
        <w:t xml:space="preserve">Under the new subtitle ‘Shared Accommodation’ </w:t>
      </w:r>
      <w:r w:rsidR="00990476">
        <w:rPr>
          <w:rFonts w:ascii="Arial" w:hAnsi="Arial" w:cs="Arial"/>
          <w:color w:val="00B0F0"/>
        </w:rPr>
        <w:t>(</w:t>
      </w:r>
      <w:r w:rsidR="00990476" w:rsidRPr="00C31EB7">
        <w:rPr>
          <w:rFonts w:ascii="Arial" w:hAnsi="Arial" w:cs="Arial"/>
          <w:color w:val="00B0F0"/>
        </w:rPr>
        <w:t xml:space="preserve">Section 5.5.7 </w:t>
      </w:r>
      <w:r w:rsidR="00990476">
        <w:rPr>
          <w:rFonts w:ascii="Arial" w:hAnsi="Arial" w:cs="Arial"/>
          <w:color w:val="00B0F0"/>
        </w:rPr>
        <w:t xml:space="preserve">Specific Housing Typologies) </w:t>
      </w:r>
      <w:r>
        <w:rPr>
          <w:rFonts w:ascii="Arial" w:hAnsi="Arial" w:cs="Arial"/>
          <w:color w:val="00B0F0"/>
        </w:rPr>
        <w:t xml:space="preserve">amend </w:t>
      </w:r>
      <w:r w:rsidR="00F43FA4" w:rsidRPr="00C31EB7">
        <w:rPr>
          <w:rFonts w:ascii="Arial" w:hAnsi="Arial" w:cs="Arial"/>
          <w:color w:val="00B0F0"/>
        </w:rPr>
        <w:t>the second s</w:t>
      </w:r>
      <w:r w:rsidR="00C31EB7" w:rsidRPr="00C31EB7">
        <w:rPr>
          <w:rFonts w:ascii="Arial" w:hAnsi="Arial" w:cs="Arial"/>
          <w:color w:val="00B0F0"/>
        </w:rPr>
        <w:t>entence</w:t>
      </w:r>
      <w:r w:rsidR="00F43FA4" w:rsidRPr="00C31EB7">
        <w:rPr>
          <w:rFonts w:ascii="Arial" w:hAnsi="Arial" w:cs="Arial"/>
          <w:color w:val="00B0F0"/>
        </w:rPr>
        <w:t xml:space="preserve"> of Paragraph 1 </w:t>
      </w:r>
      <w:r>
        <w:rPr>
          <w:rFonts w:ascii="Arial" w:hAnsi="Arial" w:cs="Arial"/>
          <w:color w:val="00B0F0"/>
        </w:rPr>
        <w:t>as follows:</w:t>
      </w:r>
    </w:p>
    <w:p w14:paraId="4F47B870" w14:textId="77777777" w:rsidR="00F43FA4" w:rsidRPr="00C31EB7" w:rsidRDefault="00F43FA4" w:rsidP="005C0BA8">
      <w:pPr>
        <w:rPr>
          <w:rFonts w:ascii="Arial" w:hAnsi="Arial" w:cs="Arial"/>
          <w:sz w:val="24"/>
          <w:szCs w:val="24"/>
        </w:rPr>
      </w:pPr>
    </w:p>
    <w:p w14:paraId="739433FA" w14:textId="48B47022" w:rsidR="00202EAB" w:rsidRDefault="00202EAB" w:rsidP="005C0BA8">
      <w:pPr>
        <w:rPr>
          <w:rFonts w:ascii="Arial" w:hAnsi="Arial" w:cs="Arial"/>
          <w:sz w:val="24"/>
          <w:szCs w:val="24"/>
        </w:rPr>
      </w:pPr>
      <w:r>
        <w:rPr>
          <w:rFonts w:ascii="Arial" w:hAnsi="Arial" w:cs="Arial"/>
          <w:sz w:val="24"/>
          <w:szCs w:val="24"/>
        </w:rPr>
        <w:t>Delete:</w:t>
      </w:r>
    </w:p>
    <w:p w14:paraId="68B54359" w14:textId="5B53F9D5" w:rsidR="00202EAB" w:rsidRDefault="005C0BA8" w:rsidP="005C0BA8">
      <w:pPr>
        <w:rPr>
          <w:rFonts w:ascii="Arial" w:hAnsi="Arial" w:cs="Arial"/>
          <w:sz w:val="24"/>
          <w:szCs w:val="24"/>
        </w:rPr>
      </w:pPr>
      <w:r w:rsidRPr="001F163C">
        <w:rPr>
          <w:rFonts w:ascii="Arial" w:hAnsi="Arial" w:cs="Arial"/>
          <w:sz w:val="24"/>
          <w:szCs w:val="24"/>
        </w:rPr>
        <w:t xml:space="preserve">The ‘Design Standards for New Apartments - Guidelines for Planning Authorities’ were updated in 2020 and aim to enable a mix of apartment types, make better provision for building refurbishment and infill schemes and address the </w:t>
      </w:r>
      <w:r w:rsidRPr="00202EAB">
        <w:rPr>
          <w:rFonts w:ascii="Arial" w:hAnsi="Arial" w:cs="Arial"/>
          <w:sz w:val="24"/>
          <w:szCs w:val="24"/>
        </w:rPr>
        <w:t>emerging</w:t>
      </w:r>
      <w:r w:rsidR="00BF3F9F">
        <w:rPr>
          <w:rFonts w:ascii="Arial" w:hAnsi="Arial" w:cs="Arial"/>
          <w:sz w:val="24"/>
          <w:szCs w:val="24"/>
        </w:rPr>
        <w:t xml:space="preserve"> </w:t>
      </w:r>
      <w:r w:rsidRPr="001F163C">
        <w:rPr>
          <w:rFonts w:ascii="Arial" w:hAnsi="Arial" w:cs="Arial"/>
          <w:sz w:val="24"/>
          <w:szCs w:val="24"/>
        </w:rPr>
        <w:t xml:space="preserve"> Build to Rent and Shared Accommodation sectors.  </w:t>
      </w:r>
    </w:p>
    <w:p w14:paraId="77AA3A6B" w14:textId="524D22E2" w:rsidR="00202EAB" w:rsidRDefault="00202EAB" w:rsidP="005C0BA8">
      <w:pPr>
        <w:rPr>
          <w:rFonts w:ascii="Arial" w:hAnsi="Arial" w:cs="Arial"/>
          <w:sz w:val="24"/>
          <w:szCs w:val="24"/>
        </w:rPr>
      </w:pPr>
      <w:r>
        <w:rPr>
          <w:rFonts w:ascii="Arial" w:hAnsi="Arial" w:cs="Arial"/>
          <w:sz w:val="24"/>
          <w:szCs w:val="24"/>
        </w:rPr>
        <w:t xml:space="preserve">Insert </w:t>
      </w:r>
    </w:p>
    <w:p w14:paraId="650A4809" w14:textId="11DBC082" w:rsidR="00202EAB" w:rsidRDefault="00202EAB" w:rsidP="00202EAB">
      <w:pPr>
        <w:rPr>
          <w:rFonts w:ascii="Arial" w:hAnsi="Arial" w:cs="Arial"/>
          <w:sz w:val="24"/>
          <w:szCs w:val="24"/>
        </w:rPr>
      </w:pPr>
      <w:r w:rsidRPr="001F163C">
        <w:rPr>
          <w:rFonts w:ascii="Arial" w:hAnsi="Arial" w:cs="Arial"/>
          <w:sz w:val="24"/>
          <w:szCs w:val="24"/>
        </w:rPr>
        <w:t xml:space="preserve">The ‘Design Standards for New Apartments - Guidelines for Planning Authorities’ were updated in 2020 </w:t>
      </w:r>
      <w:r w:rsidRPr="00202EAB">
        <w:rPr>
          <w:rFonts w:ascii="Arial" w:hAnsi="Arial" w:cs="Arial"/>
          <w:sz w:val="24"/>
          <w:szCs w:val="24"/>
        </w:rPr>
        <w:t>and again in 2022 and 2023</w:t>
      </w:r>
      <w:r>
        <w:rPr>
          <w:rFonts w:ascii="Arial" w:hAnsi="Arial" w:cs="Arial"/>
          <w:sz w:val="24"/>
          <w:szCs w:val="24"/>
        </w:rPr>
        <w:t xml:space="preserve"> </w:t>
      </w:r>
      <w:r w:rsidRPr="001F163C">
        <w:rPr>
          <w:rFonts w:ascii="Arial" w:hAnsi="Arial" w:cs="Arial"/>
          <w:sz w:val="24"/>
          <w:szCs w:val="24"/>
        </w:rPr>
        <w:t xml:space="preserve">and aim to enable a mix of apartment types, make better provision for building refurbishment and infill schemes and address the Build to Rent and Shared Accommodation sectors.  </w:t>
      </w:r>
    </w:p>
    <w:p w14:paraId="0121CA57" w14:textId="1642ED5F" w:rsidR="00C31EB7" w:rsidRPr="00C31EB7" w:rsidRDefault="002A1116" w:rsidP="00C31EB7">
      <w:pPr>
        <w:pStyle w:val="Default"/>
        <w:rPr>
          <w:rFonts w:ascii="Arial" w:hAnsi="Arial" w:cs="Arial"/>
          <w:color w:val="00B0F0"/>
        </w:rPr>
      </w:pPr>
      <w:r>
        <w:rPr>
          <w:rFonts w:ascii="Arial" w:hAnsi="Arial" w:cs="Arial"/>
          <w:color w:val="00B0F0"/>
        </w:rPr>
        <w:lastRenderedPageBreak/>
        <w:t>Under the new subtitle ‘Shared Accommodation’ (</w:t>
      </w:r>
      <w:r w:rsidRPr="00C31EB7">
        <w:rPr>
          <w:rFonts w:ascii="Arial" w:hAnsi="Arial" w:cs="Arial"/>
          <w:color w:val="00B0F0"/>
        </w:rPr>
        <w:t xml:space="preserve">Section 5.5.7 </w:t>
      </w:r>
      <w:r>
        <w:rPr>
          <w:rFonts w:ascii="Arial" w:hAnsi="Arial" w:cs="Arial"/>
          <w:color w:val="00B0F0"/>
        </w:rPr>
        <w:t xml:space="preserve">Specific Housing Typologies) </w:t>
      </w:r>
      <w:r w:rsidR="00BF3F9F">
        <w:rPr>
          <w:rFonts w:ascii="Arial" w:hAnsi="Arial" w:cs="Arial"/>
          <w:color w:val="00B0F0"/>
        </w:rPr>
        <w:t>insert a</w:t>
      </w:r>
      <w:r>
        <w:rPr>
          <w:rFonts w:ascii="Arial" w:hAnsi="Arial" w:cs="Arial"/>
          <w:color w:val="00B0F0"/>
        </w:rPr>
        <w:t xml:space="preserve"> sentence at the end of the first paragraph: </w:t>
      </w:r>
    </w:p>
    <w:p w14:paraId="085C1951" w14:textId="77777777" w:rsidR="00C31EB7" w:rsidRPr="00C31EB7" w:rsidRDefault="00C31EB7" w:rsidP="00C31EB7">
      <w:pPr>
        <w:pStyle w:val="Default"/>
        <w:rPr>
          <w:rFonts w:ascii="Arial" w:hAnsi="Arial" w:cs="Arial"/>
          <w:color w:val="00B0F0"/>
        </w:rPr>
      </w:pPr>
    </w:p>
    <w:p w14:paraId="74259D1F" w14:textId="167BD2BB" w:rsidR="00C31EB7" w:rsidRDefault="00C31EB7" w:rsidP="005C0BA8">
      <w:pPr>
        <w:rPr>
          <w:rFonts w:ascii="Arial" w:hAnsi="Arial" w:cs="Arial"/>
          <w:sz w:val="24"/>
          <w:szCs w:val="24"/>
        </w:rPr>
      </w:pPr>
      <w:r>
        <w:rPr>
          <w:rFonts w:ascii="Arial" w:hAnsi="Arial" w:cs="Arial"/>
          <w:sz w:val="24"/>
          <w:szCs w:val="24"/>
        </w:rPr>
        <w:t>Insert:</w:t>
      </w:r>
    </w:p>
    <w:p w14:paraId="12E62199" w14:textId="6B389128" w:rsidR="005C0BA8" w:rsidRPr="00C31EB7" w:rsidRDefault="00D864D1" w:rsidP="005C0BA8">
      <w:pPr>
        <w:rPr>
          <w:rFonts w:ascii="Arial" w:hAnsi="Arial" w:cs="Arial"/>
          <w:sz w:val="24"/>
          <w:szCs w:val="24"/>
        </w:rPr>
      </w:pPr>
      <w:r w:rsidRPr="00C31EB7">
        <w:rPr>
          <w:rFonts w:ascii="Arial" w:hAnsi="Arial" w:cs="Arial"/>
          <w:sz w:val="24"/>
          <w:szCs w:val="24"/>
        </w:rPr>
        <w:t>The 20</w:t>
      </w:r>
      <w:r w:rsidR="00B234A8" w:rsidRPr="00C31EB7">
        <w:rPr>
          <w:rFonts w:ascii="Arial" w:hAnsi="Arial" w:cs="Arial"/>
          <w:sz w:val="24"/>
          <w:szCs w:val="24"/>
        </w:rPr>
        <w:t>22/</w:t>
      </w:r>
      <w:r w:rsidRPr="00C31EB7">
        <w:rPr>
          <w:rFonts w:ascii="Arial" w:hAnsi="Arial" w:cs="Arial"/>
          <w:sz w:val="24"/>
          <w:szCs w:val="24"/>
        </w:rPr>
        <w:t>23</w:t>
      </w:r>
      <w:r w:rsidR="005C0BA8" w:rsidRPr="00C31EB7">
        <w:rPr>
          <w:rFonts w:ascii="Arial" w:hAnsi="Arial" w:cs="Arial"/>
          <w:sz w:val="24"/>
          <w:szCs w:val="24"/>
        </w:rPr>
        <w:t xml:space="preserve"> technical update to the Design Standards for N</w:t>
      </w:r>
      <w:r w:rsidR="001E6D87" w:rsidRPr="00C31EB7">
        <w:rPr>
          <w:rFonts w:ascii="Arial" w:hAnsi="Arial" w:cs="Arial"/>
          <w:sz w:val="24"/>
          <w:szCs w:val="24"/>
        </w:rPr>
        <w:t xml:space="preserve">ew Apartment Guidelines no longer </w:t>
      </w:r>
      <w:r w:rsidR="005C0BA8" w:rsidRPr="00C31EB7">
        <w:rPr>
          <w:rFonts w:ascii="Arial" w:hAnsi="Arial" w:cs="Arial"/>
          <w:sz w:val="24"/>
          <w:szCs w:val="24"/>
        </w:rPr>
        <w:t xml:space="preserve">identify Build to </w:t>
      </w:r>
      <w:proofErr w:type="gramStart"/>
      <w:r w:rsidR="005C0BA8" w:rsidRPr="00C31EB7">
        <w:rPr>
          <w:rFonts w:ascii="Arial" w:hAnsi="Arial" w:cs="Arial"/>
          <w:sz w:val="24"/>
          <w:szCs w:val="24"/>
        </w:rPr>
        <w:t>Rent</w:t>
      </w:r>
      <w:proofErr w:type="gramEnd"/>
      <w:r w:rsidR="005C0BA8" w:rsidRPr="00C31EB7">
        <w:rPr>
          <w:rFonts w:ascii="Arial" w:hAnsi="Arial" w:cs="Arial"/>
          <w:sz w:val="24"/>
          <w:szCs w:val="24"/>
        </w:rPr>
        <w:t xml:space="preserve"> accommodation as a distinct housing typology</w:t>
      </w:r>
      <w:r w:rsidR="001F163C" w:rsidRPr="00C31EB7">
        <w:rPr>
          <w:rFonts w:ascii="Arial" w:hAnsi="Arial" w:cs="Arial"/>
          <w:sz w:val="24"/>
          <w:szCs w:val="24"/>
        </w:rPr>
        <w:t xml:space="preserve"> which requires</w:t>
      </w:r>
      <w:r w:rsidR="000240A1" w:rsidRPr="00C31EB7">
        <w:rPr>
          <w:rFonts w:ascii="Arial" w:hAnsi="Arial" w:cs="Arial"/>
          <w:sz w:val="24"/>
          <w:szCs w:val="24"/>
        </w:rPr>
        <w:t xml:space="preserve"> separate guidance / design standards</w:t>
      </w:r>
      <w:r w:rsidR="005C0BA8" w:rsidRPr="00C31EB7">
        <w:rPr>
          <w:rFonts w:ascii="Arial" w:hAnsi="Arial" w:cs="Arial"/>
          <w:sz w:val="24"/>
          <w:szCs w:val="24"/>
        </w:rPr>
        <w:t xml:space="preserve">.  </w:t>
      </w:r>
    </w:p>
    <w:p w14:paraId="1F0A0A35" w14:textId="77777777" w:rsidR="00F43FA4" w:rsidRDefault="00F43FA4" w:rsidP="005C0BA8">
      <w:pPr>
        <w:rPr>
          <w:rFonts w:ascii="Arial" w:hAnsi="Arial" w:cs="Arial"/>
          <w:color w:val="FF0000"/>
          <w:sz w:val="24"/>
          <w:szCs w:val="24"/>
        </w:rPr>
      </w:pPr>
    </w:p>
    <w:p w14:paraId="53EAABF1" w14:textId="7A4F07EA" w:rsidR="00F43FA4" w:rsidRPr="00C31EB7" w:rsidRDefault="00BF3F9F" w:rsidP="00F43FA4">
      <w:pPr>
        <w:pStyle w:val="Default"/>
        <w:rPr>
          <w:rFonts w:ascii="Arial" w:hAnsi="Arial" w:cs="Arial"/>
          <w:color w:val="00B0F0"/>
        </w:rPr>
      </w:pPr>
      <w:r>
        <w:rPr>
          <w:rFonts w:ascii="Arial" w:hAnsi="Arial" w:cs="Arial"/>
          <w:color w:val="00B0F0"/>
        </w:rPr>
        <w:t>Under the new subtitle ‘Shared Accommodation’ (</w:t>
      </w:r>
      <w:r w:rsidRPr="00C31EB7">
        <w:rPr>
          <w:rFonts w:ascii="Arial" w:hAnsi="Arial" w:cs="Arial"/>
          <w:color w:val="00B0F0"/>
        </w:rPr>
        <w:t xml:space="preserve">Section 5.5.7 </w:t>
      </w:r>
      <w:r>
        <w:rPr>
          <w:rFonts w:ascii="Arial" w:hAnsi="Arial" w:cs="Arial"/>
          <w:color w:val="00B0F0"/>
        </w:rPr>
        <w:t>Specific Housing Typologies)</w:t>
      </w:r>
      <w:r w:rsidR="00677B73">
        <w:rPr>
          <w:rFonts w:ascii="Arial" w:hAnsi="Arial" w:cs="Arial"/>
          <w:color w:val="00B0F0"/>
        </w:rPr>
        <w:t xml:space="preserve"> and </w:t>
      </w:r>
      <w:r w:rsidR="00F43FA4" w:rsidRPr="00C31EB7">
        <w:rPr>
          <w:rFonts w:ascii="Arial" w:hAnsi="Arial" w:cs="Arial"/>
          <w:color w:val="00B0F0"/>
        </w:rPr>
        <w:t xml:space="preserve">after </w:t>
      </w:r>
      <w:r>
        <w:rPr>
          <w:rFonts w:ascii="Arial" w:hAnsi="Arial" w:cs="Arial"/>
          <w:color w:val="00B0F0"/>
        </w:rPr>
        <w:t xml:space="preserve">the </w:t>
      </w:r>
      <w:r w:rsidR="00F43FA4" w:rsidRPr="00C31EB7">
        <w:rPr>
          <w:rFonts w:ascii="Arial" w:hAnsi="Arial" w:cs="Arial"/>
          <w:color w:val="00B0F0"/>
        </w:rPr>
        <w:t>first paragraph</w:t>
      </w:r>
      <w:r w:rsidR="00677B73">
        <w:rPr>
          <w:rFonts w:ascii="Arial" w:hAnsi="Arial" w:cs="Arial"/>
          <w:color w:val="00B0F0"/>
        </w:rPr>
        <w:t>,</w:t>
      </w:r>
      <w:r w:rsidR="00F43FA4" w:rsidRPr="00C31EB7">
        <w:rPr>
          <w:rFonts w:ascii="Arial" w:hAnsi="Arial" w:cs="Arial"/>
          <w:color w:val="00B0F0"/>
        </w:rPr>
        <w:t xml:space="preserve"> </w:t>
      </w:r>
      <w:r w:rsidR="00677B73">
        <w:rPr>
          <w:rFonts w:ascii="Arial" w:hAnsi="Arial" w:cs="Arial"/>
          <w:color w:val="00B0F0"/>
        </w:rPr>
        <w:t>delete the next 4 paragraphs and P</w:t>
      </w:r>
      <w:r w:rsidR="0068560F">
        <w:rPr>
          <w:rFonts w:ascii="Arial" w:hAnsi="Arial" w:cs="Arial"/>
          <w:color w:val="00B0F0"/>
        </w:rPr>
        <w:t xml:space="preserve">olicies </w:t>
      </w:r>
      <w:r w:rsidR="00F43FA4" w:rsidRPr="00C31EB7">
        <w:rPr>
          <w:rFonts w:ascii="Arial" w:hAnsi="Arial" w:cs="Arial"/>
          <w:color w:val="00B0F0"/>
        </w:rPr>
        <w:t>QHSN40, QHSN41 and QHSN42</w:t>
      </w:r>
      <w:r>
        <w:rPr>
          <w:rFonts w:ascii="Arial" w:hAnsi="Arial" w:cs="Arial"/>
          <w:color w:val="00B0F0"/>
        </w:rPr>
        <w:t xml:space="preserve"> as follows</w:t>
      </w:r>
      <w:r w:rsidR="00677B73">
        <w:rPr>
          <w:rFonts w:ascii="Arial" w:hAnsi="Arial" w:cs="Arial"/>
          <w:color w:val="00B0F0"/>
        </w:rPr>
        <w:t>:</w:t>
      </w:r>
    </w:p>
    <w:p w14:paraId="0BC7BB1A" w14:textId="77777777" w:rsidR="0078298A" w:rsidRDefault="0078298A" w:rsidP="005C0BA8">
      <w:pPr>
        <w:rPr>
          <w:rFonts w:ascii="Arial" w:hAnsi="Arial" w:cs="Arial"/>
          <w:sz w:val="24"/>
          <w:szCs w:val="24"/>
        </w:rPr>
      </w:pPr>
    </w:p>
    <w:p w14:paraId="73A44662" w14:textId="62B66EDB" w:rsidR="00C31EB7" w:rsidRPr="00C31EB7" w:rsidRDefault="00C31EB7" w:rsidP="005C0BA8">
      <w:pPr>
        <w:rPr>
          <w:rFonts w:ascii="Arial" w:hAnsi="Arial" w:cs="Arial"/>
          <w:sz w:val="24"/>
          <w:szCs w:val="24"/>
        </w:rPr>
      </w:pPr>
      <w:r w:rsidRPr="00C31EB7">
        <w:rPr>
          <w:rFonts w:ascii="Arial" w:hAnsi="Arial" w:cs="Arial"/>
          <w:sz w:val="24"/>
          <w:szCs w:val="24"/>
        </w:rPr>
        <w:t>Delete:</w:t>
      </w:r>
    </w:p>
    <w:p w14:paraId="245B1F49" w14:textId="1D4FA127" w:rsidR="00872E36" w:rsidRPr="00C31EB7" w:rsidRDefault="00872E36" w:rsidP="00872E36">
      <w:pPr>
        <w:rPr>
          <w:rFonts w:ascii="Arial" w:hAnsi="Arial" w:cs="Arial"/>
          <w:sz w:val="24"/>
          <w:szCs w:val="24"/>
        </w:rPr>
      </w:pPr>
      <w:r w:rsidRPr="00C31EB7">
        <w:rPr>
          <w:rFonts w:ascii="Arial" w:hAnsi="Arial" w:cs="Arial"/>
          <w:sz w:val="24"/>
          <w:szCs w:val="24"/>
        </w:rPr>
        <w:t xml:space="preserve">It is recognised that Build to Rent (BTR) serves an important role in meeting housing demand and can fill a gap in tenure mix in established areas of owner-occupier housing. Recent emerging trends however, would indicate that the dominance of BTR in large schemes can be to the detriment of standard designed apartment units. Whilst such development has its place in the hierarchy of provision of homes across the city, the Planning authority will seek to avoid over proliferation of such use in certain areas and encourage such development as part of a healthy mix of tenure in order to create sustainable communities and neighbourhoods. </w:t>
      </w:r>
    </w:p>
    <w:p w14:paraId="56CC0B42" w14:textId="77777777" w:rsidR="00872E36" w:rsidRPr="00C31EB7" w:rsidRDefault="00872E36" w:rsidP="00872E36">
      <w:pPr>
        <w:rPr>
          <w:rFonts w:ascii="Arial" w:hAnsi="Arial" w:cs="Arial"/>
          <w:sz w:val="24"/>
          <w:szCs w:val="24"/>
        </w:rPr>
      </w:pPr>
      <w:r w:rsidRPr="00C31EB7">
        <w:rPr>
          <w:rFonts w:ascii="Arial" w:hAnsi="Arial" w:cs="Arial"/>
          <w:sz w:val="24"/>
          <w:szCs w:val="24"/>
        </w:rPr>
        <w:t xml:space="preserve">BTR should be concentrated in significant employment locations, within 500m of major public transport interchanges and within identified Strategic Development Regeneration Areas. </w:t>
      </w:r>
    </w:p>
    <w:p w14:paraId="6CD8D7B6" w14:textId="77777777" w:rsidR="00872E36" w:rsidRPr="00C31EB7" w:rsidRDefault="00872E36" w:rsidP="00872E36">
      <w:pPr>
        <w:rPr>
          <w:rFonts w:ascii="Arial" w:hAnsi="Arial" w:cs="Arial"/>
          <w:sz w:val="24"/>
          <w:szCs w:val="24"/>
        </w:rPr>
      </w:pPr>
      <w:r w:rsidRPr="00C31EB7">
        <w:rPr>
          <w:rFonts w:ascii="Arial" w:hAnsi="Arial" w:cs="Arial"/>
          <w:sz w:val="24"/>
          <w:szCs w:val="24"/>
        </w:rPr>
        <w:t>Furthermore, applications for BTR schemes should be required to demonstrate how the development supports housing need, particularly with regard to tenure, unit size and accessibility with particular reference to the Dublin City Council Housing Need and Demand Assessment and that there is not an over-concentration of Build to Rent Accommodation within an area, including a map showing all such facilities within a 1km radius of</w:t>
      </w:r>
      <w:r w:rsidRPr="00C31EB7">
        <w:rPr>
          <w:rFonts w:ascii="Arial" w:eastAsia="Arial" w:hAnsi="Arial" w:cs="Arial"/>
          <w:sz w:val="24"/>
          <w:szCs w:val="24"/>
        </w:rPr>
        <w:t xml:space="preserve"> a proposal. </w:t>
      </w:r>
      <w:r w:rsidRPr="00C31EB7">
        <w:rPr>
          <w:rFonts w:ascii="Arial" w:hAnsi="Arial" w:cs="Arial"/>
          <w:sz w:val="24"/>
          <w:szCs w:val="24"/>
        </w:rPr>
        <w:t>Such housing will be controlled in the interest of providing a mix of tenure and unit types. In assessing the matter of overconcentration, the Planning authority will have regard to factors such as:</w:t>
      </w:r>
    </w:p>
    <w:p w14:paraId="55D8612B" w14:textId="77777777" w:rsidR="00872E36" w:rsidRPr="00C31EB7" w:rsidRDefault="00872E36" w:rsidP="00872E36">
      <w:pPr>
        <w:pStyle w:val="Default"/>
        <w:widowControl/>
        <w:numPr>
          <w:ilvl w:val="0"/>
          <w:numId w:val="2"/>
        </w:numPr>
        <w:spacing w:after="200" w:line="276" w:lineRule="auto"/>
        <w:ind w:left="851" w:hanging="425"/>
        <w:rPr>
          <w:rFonts w:ascii="Arial" w:hAnsi="Arial" w:cs="Arial"/>
        </w:rPr>
      </w:pPr>
      <w:r w:rsidRPr="00C31EB7">
        <w:rPr>
          <w:rFonts w:ascii="Arial" w:hAnsi="Arial" w:cs="Arial"/>
        </w:rPr>
        <w:t xml:space="preserve">the number and scale of other permitted and proposed BTR development in the vicinity (within a 1km radius) of the site, </w:t>
      </w:r>
    </w:p>
    <w:p w14:paraId="691498CB" w14:textId="77777777" w:rsidR="00872E36" w:rsidRPr="00C31EB7" w:rsidRDefault="00872E36" w:rsidP="00872E36">
      <w:pPr>
        <w:pStyle w:val="Default"/>
        <w:widowControl/>
        <w:numPr>
          <w:ilvl w:val="0"/>
          <w:numId w:val="2"/>
        </w:numPr>
        <w:spacing w:after="200" w:line="276" w:lineRule="auto"/>
        <w:ind w:left="851" w:hanging="425"/>
        <w:rPr>
          <w:rFonts w:ascii="Arial" w:hAnsi="Arial" w:cs="Arial"/>
        </w:rPr>
      </w:pPr>
      <w:r w:rsidRPr="00C31EB7">
        <w:rPr>
          <w:rFonts w:ascii="Arial" w:hAnsi="Arial" w:cs="Arial"/>
        </w:rPr>
        <w:t xml:space="preserve">the household tenure and housing type of existing housing stock in the approximate vicinity (within a 1km radius) of the site, </w:t>
      </w:r>
    </w:p>
    <w:p w14:paraId="56368C58" w14:textId="77777777" w:rsidR="00872E36" w:rsidRPr="00C31EB7" w:rsidRDefault="00872E36" w:rsidP="00872E36">
      <w:pPr>
        <w:pStyle w:val="Default"/>
        <w:widowControl/>
        <w:numPr>
          <w:ilvl w:val="0"/>
          <w:numId w:val="2"/>
        </w:numPr>
        <w:spacing w:after="200" w:line="276" w:lineRule="auto"/>
        <w:ind w:left="851" w:hanging="425"/>
        <w:rPr>
          <w:rFonts w:ascii="Arial" w:hAnsi="Arial" w:cs="Arial"/>
        </w:rPr>
      </w:pPr>
      <w:proofErr w:type="gramStart"/>
      <w:r w:rsidRPr="00C31EB7">
        <w:rPr>
          <w:rFonts w:ascii="Arial" w:hAnsi="Arial" w:cs="Arial"/>
        </w:rPr>
        <w:t>and</w:t>
      </w:r>
      <w:proofErr w:type="gramEnd"/>
      <w:r w:rsidRPr="00C31EB7">
        <w:rPr>
          <w:rFonts w:ascii="Arial" w:hAnsi="Arial" w:cs="Arial"/>
        </w:rPr>
        <w:t xml:space="preserve"> the proximity of the proposal to high capacity urban public transport stops and interchange (such as DART, Luas and </w:t>
      </w:r>
      <w:proofErr w:type="spellStart"/>
      <w:r w:rsidRPr="00C31EB7">
        <w:rPr>
          <w:rFonts w:ascii="Arial" w:hAnsi="Arial" w:cs="Arial"/>
        </w:rPr>
        <w:t>BusConnects</w:t>
      </w:r>
      <w:proofErr w:type="spellEnd"/>
      <w:r w:rsidRPr="00C31EB7">
        <w:rPr>
          <w:rFonts w:ascii="Arial" w:hAnsi="Arial" w:cs="Arial"/>
        </w:rPr>
        <w:t xml:space="preserve">). </w:t>
      </w:r>
    </w:p>
    <w:p w14:paraId="05B2FBB1" w14:textId="77777777" w:rsidR="00872E36" w:rsidRPr="00C31EB7" w:rsidRDefault="00872E36" w:rsidP="00872E36">
      <w:pPr>
        <w:rPr>
          <w:rFonts w:ascii="Arial" w:eastAsiaTheme="minorHAnsi" w:hAnsi="Arial" w:cs="Arial"/>
          <w:sz w:val="24"/>
          <w:szCs w:val="24"/>
        </w:rPr>
      </w:pPr>
      <w:r w:rsidRPr="00C31EB7">
        <w:rPr>
          <w:rFonts w:ascii="Arial" w:hAnsi="Arial" w:cs="Arial"/>
          <w:sz w:val="24"/>
          <w:szCs w:val="24"/>
        </w:rPr>
        <w:lastRenderedPageBreak/>
        <w:t>There will be a general presumption against large scale residential developments (in excess of 100 units) which comprise of 100% BTR typology. To ensure a sustainable mix of tenure and long term sustainable communities, a minimum of 60% of standard designed apartments will be required in such instances. BTR schemes</w:t>
      </w:r>
      <w:r w:rsidRPr="00C31EB7">
        <w:rPr>
          <w:rFonts w:ascii="Arial" w:eastAsiaTheme="minorHAnsi" w:hAnsi="Arial" w:cs="Arial"/>
          <w:sz w:val="24"/>
          <w:szCs w:val="24"/>
        </w:rPr>
        <w:t xml:space="preserve"> of less than 100 units will generally not be supported. The concept of Built to Rent requires a critical mass of accommodation to provide a meaningful provision of communal facilities and services. Smaller BTR schemes with less than 100 units will only be considered where it can be demonstrated that there is a strong need for the development and a detailed justification is provided. </w:t>
      </w:r>
    </w:p>
    <w:p w14:paraId="3E6E621C" w14:textId="6E78A66B" w:rsidR="00872E36" w:rsidRPr="00C31EB7" w:rsidRDefault="00872E36" w:rsidP="00872E36">
      <w:pPr>
        <w:rPr>
          <w:rFonts w:ascii="Arial" w:hAnsi="Arial" w:cs="Arial"/>
          <w:sz w:val="24"/>
          <w:szCs w:val="24"/>
        </w:rPr>
      </w:pPr>
    </w:p>
    <w:tbl>
      <w:tblPr>
        <w:tblStyle w:val="GridTable5Dark-Accent112"/>
        <w:tblW w:w="0" w:type="auto"/>
        <w:tblLook w:val="04A0" w:firstRow="1" w:lastRow="0" w:firstColumn="1" w:lastColumn="0" w:noHBand="0" w:noVBand="1"/>
      </w:tblPr>
      <w:tblGrid>
        <w:gridCol w:w="1177"/>
        <w:gridCol w:w="7839"/>
      </w:tblGrid>
      <w:tr w:rsidR="00872E36" w:rsidRPr="00C31EB7" w14:paraId="16DDEBDB" w14:textId="77777777" w:rsidTr="00FE05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2BB6977A" w14:textId="77777777" w:rsidR="00872E36" w:rsidRPr="00C31EB7" w:rsidRDefault="00872E36" w:rsidP="00FE0594">
            <w:pPr>
              <w:keepNext/>
              <w:spacing w:after="100"/>
              <w:rPr>
                <w:rFonts w:ascii="Arial" w:hAnsi="Arial" w:cs="Arial"/>
                <w:sz w:val="24"/>
                <w:szCs w:val="24"/>
              </w:rPr>
            </w:pPr>
            <w:r w:rsidRPr="00C31EB7">
              <w:rPr>
                <w:rFonts w:ascii="Arial" w:hAnsi="Arial" w:cs="Arial"/>
                <w:sz w:val="24"/>
                <w:szCs w:val="24"/>
              </w:rPr>
              <w:t>It is the Policy of Dublin City Council:</w:t>
            </w:r>
          </w:p>
        </w:tc>
      </w:tr>
      <w:tr w:rsidR="00872E36" w:rsidRPr="00C31EB7" w14:paraId="781BC4FC" w14:textId="77777777" w:rsidTr="000025B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AADDD70" w14:textId="77777777" w:rsidR="00872E36" w:rsidRPr="00C31EB7" w:rsidRDefault="00872E36" w:rsidP="00FE0594">
            <w:pPr>
              <w:spacing w:after="100"/>
              <w:rPr>
                <w:rFonts w:ascii="Arial" w:hAnsi="Arial" w:cs="Arial"/>
                <w:color w:val="00853C"/>
                <w:sz w:val="24"/>
                <w:szCs w:val="24"/>
              </w:rPr>
            </w:pPr>
            <w:r w:rsidRPr="00C31EB7">
              <w:rPr>
                <w:rFonts w:ascii="Arial" w:hAnsi="Arial" w:cs="Arial"/>
                <w:sz w:val="24"/>
                <w:szCs w:val="24"/>
              </w:rPr>
              <w:t>QHSN40</w:t>
            </w:r>
          </w:p>
        </w:tc>
        <w:tc>
          <w:tcPr>
            <w:tcW w:w="7839" w:type="dxa"/>
            <w:vAlign w:val="center"/>
          </w:tcPr>
          <w:p w14:paraId="5B150A52" w14:textId="77777777" w:rsidR="00872E36" w:rsidRPr="00C31EB7" w:rsidRDefault="00872E36"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C31EB7">
              <w:rPr>
                <w:rFonts w:ascii="Arial" w:hAnsi="Arial" w:cs="Arial"/>
                <w:b/>
                <w:sz w:val="24"/>
                <w:szCs w:val="24"/>
              </w:rPr>
              <w:t>Build to Rent Accommodation</w:t>
            </w:r>
          </w:p>
          <w:p w14:paraId="5139D690" w14:textId="77777777" w:rsidR="00872E36" w:rsidRPr="00C31EB7" w:rsidRDefault="00872E36"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To facilitate the provision of Build to Rent (BTR) Accommodation in the following specific locations:</w:t>
            </w:r>
          </w:p>
          <w:p w14:paraId="32E925EF" w14:textId="77777777" w:rsidR="00872E36" w:rsidRPr="00C31EB7" w:rsidRDefault="00872E36" w:rsidP="00872E36">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Within 500 metre walking distance of significant employment locations,</w:t>
            </w:r>
          </w:p>
          <w:p w14:paraId="35611093" w14:textId="77777777" w:rsidR="00872E36" w:rsidRPr="00C31EB7" w:rsidRDefault="00872E36" w:rsidP="00872E36">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 xml:space="preserve">Within 500 metres of major public transport interchanges (e.g. Connolly Station, Tara Street Station and </w:t>
            </w:r>
            <w:proofErr w:type="spellStart"/>
            <w:r w:rsidRPr="00C31EB7">
              <w:rPr>
                <w:rFonts w:ascii="Arial" w:hAnsi="Arial" w:cs="Arial"/>
                <w:sz w:val="24"/>
                <w:szCs w:val="24"/>
              </w:rPr>
              <w:t>Heuston</w:t>
            </w:r>
            <w:proofErr w:type="spellEnd"/>
            <w:r w:rsidRPr="00C31EB7">
              <w:rPr>
                <w:rFonts w:ascii="Arial" w:hAnsi="Arial" w:cs="Arial"/>
                <w:sz w:val="24"/>
                <w:szCs w:val="24"/>
              </w:rPr>
              <w:t xml:space="preserve"> Station), and</w:t>
            </w:r>
          </w:p>
          <w:p w14:paraId="67C5AD91" w14:textId="77777777" w:rsidR="00872E36" w:rsidRPr="00C31EB7" w:rsidRDefault="00872E36" w:rsidP="00872E36">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Within identified Strategic Development Regenerations Areas.</w:t>
            </w:r>
          </w:p>
          <w:p w14:paraId="25A08F89" w14:textId="77777777" w:rsidR="00872E36" w:rsidRPr="00C31EB7" w:rsidRDefault="00872E36"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 xml:space="preserve">There will be a general presumption against large scale residential developments (in excess of 100 units) which comprise of 100% BTR typology. To ensure there are opportunities for a sustainable mix of tenure and long term sustainable communities, a minimum of 60% of units within a development must be designed as standard apartments in accordance with the requirements set out in the Sustainable Urban Housing: Design Standards for New Apartments, December 2020. </w:t>
            </w:r>
          </w:p>
          <w:p w14:paraId="1BAF37EA" w14:textId="77777777" w:rsidR="00872E36" w:rsidRPr="00C31EB7" w:rsidRDefault="00872E36"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 xml:space="preserve">There will be a presumption against the proliferation and over concentration of BTR development in any one area. In this regard, applications for BTR developments should be accompanied by an assessment of other permitted and proposed BTR developments within a 1km radius of the site to demonstrate: </w:t>
            </w:r>
          </w:p>
          <w:p w14:paraId="2C00C7E1" w14:textId="77777777" w:rsidR="00872E36" w:rsidRPr="00C31EB7" w:rsidRDefault="00872E36" w:rsidP="00872E36">
            <w:pPr>
              <w:pStyle w:val="ListParagraph"/>
              <w:numPr>
                <w:ilvl w:val="0"/>
                <w:numId w:val="4"/>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C31EB7">
              <w:rPr>
                <w:rFonts w:ascii="Arial" w:hAnsi="Arial" w:cs="Arial"/>
                <w:sz w:val="24"/>
                <w:szCs w:val="24"/>
              </w:rPr>
              <w:t>that</w:t>
            </w:r>
            <w:proofErr w:type="gramEnd"/>
            <w:r w:rsidRPr="00C31EB7">
              <w:rPr>
                <w:rFonts w:ascii="Arial" w:hAnsi="Arial" w:cs="Arial"/>
                <w:sz w:val="24"/>
                <w:szCs w:val="24"/>
              </w:rPr>
              <w:t xml:space="preserve"> the development would not result in the overconcentration of one housing tenure in a particular area and take into account the location of the proposed BTR. </w:t>
            </w:r>
          </w:p>
          <w:p w14:paraId="3500BB3C" w14:textId="77777777" w:rsidR="00872E36" w:rsidRPr="00C31EB7" w:rsidRDefault="00872E36" w:rsidP="00872E36">
            <w:pPr>
              <w:pStyle w:val="ListParagraph"/>
              <w:numPr>
                <w:ilvl w:val="0"/>
                <w:numId w:val="4"/>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proofErr w:type="gramStart"/>
            <w:r w:rsidRPr="00C31EB7">
              <w:rPr>
                <w:rFonts w:ascii="Arial" w:hAnsi="Arial" w:cs="Arial"/>
                <w:sz w:val="24"/>
                <w:szCs w:val="24"/>
              </w:rPr>
              <w:t>how</w:t>
            </w:r>
            <w:proofErr w:type="gramEnd"/>
            <w:r w:rsidRPr="00C31EB7">
              <w:rPr>
                <w:rFonts w:ascii="Arial" w:hAnsi="Arial" w:cs="Arial"/>
                <w:sz w:val="24"/>
                <w:szCs w:val="24"/>
              </w:rPr>
              <w:t xml:space="preserve"> the development supports housing need, particularly with regard to tenure, unit size and accessibility with particular reference to the Dublin City Council Housing Need and Demand Assessment.</w:t>
            </w:r>
          </w:p>
        </w:tc>
      </w:tr>
      <w:tr w:rsidR="00872E36" w:rsidRPr="00C31EB7" w14:paraId="37FA8CA8" w14:textId="77777777" w:rsidTr="000025B9">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C60EFBB" w14:textId="77777777" w:rsidR="00872E36" w:rsidRPr="00C31EB7" w:rsidRDefault="00872E36" w:rsidP="00FE0594">
            <w:pPr>
              <w:spacing w:after="100"/>
              <w:rPr>
                <w:rFonts w:ascii="Arial" w:hAnsi="Arial" w:cs="Arial"/>
                <w:color w:val="00853C"/>
                <w:sz w:val="24"/>
                <w:szCs w:val="24"/>
              </w:rPr>
            </w:pPr>
            <w:r w:rsidRPr="00C31EB7">
              <w:rPr>
                <w:rFonts w:ascii="Arial" w:hAnsi="Arial" w:cs="Arial"/>
                <w:sz w:val="24"/>
                <w:szCs w:val="24"/>
              </w:rPr>
              <w:lastRenderedPageBreak/>
              <w:t>QHSN41</w:t>
            </w:r>
          </w:p>
        </w:tc>
        <w:tc>
          <w:tcPr>
            <w:tcW w:w="7839" w:type="dxa"/>
            <w:vAlign w:val="center"/>
          </w:tcPr>
          <w:p w14:paraId="0DD9C043" w14:textId="77777777" w:rsidR="00872E36" w:rsidRPr="00C31EB7" w:rsidRDefault="00872E36" w:rsidP="00FE0594">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1EB7">
              <w:rPr>
                <w:rFonts w:ascii="Arial" w:hAnsi="Arial" w:cs="Arial"/>
                <w:sz w:val="24"/>
                <w:szCs w:val="24"/>
              </w:rPr>
              <w:t>Built to Rent Accommodation</w:t>
            </w:r>
          </w:p>
          <w:p w14:paraId="75B19052" w14:textId="77777777" w:rsidR="00872E36" w:rsidRPr="00C31EB7" w:rsidRDefault="00872E36" w:rsidP="00FE0594">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C31EB7">
              <w:rPr>
                <w:rFonts w:ascii="Arial" w:hAnsi="Arial" w:cs="Arial"/>
                <w:sz w:val="24"/>
                <w:szCs w:val="24"/>
              </w:rPr>
              <w:t xml:space="preserve">To discourage BTR Accommodation schemes of less than 100 units due to the need to provide a critical mass of accommodation to provide a meaningful provision of communal facilities and services. Smaller BTR accommodation schemes with less than 100 units will only be considered in exceptional circumstances and where a detailed justification is provided. </w:t>
            </w:r>
          </w:p>
        </w:tc>
      </w:tr>
      <w:tr w:rsidR="00872E36" w:rsidRPr="00C31EB7" w14:paraId="1E17C9AA" w14:textId="77777777" w:rsidTr="000025B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21F2CE0B" w14:textId="77777777" w:rsidR="00872E36" w:rsidRPr="00C31EB7" w:rsidRDefault="00872E36" w:rsidP="00FE0594">
            <w:pPr>
              <w:spacing w:after="100"/>
              <w:rPr>
                <w:rFonts w:ascii="Arial" w:hAnsi="Arial" w:cs="Arial"/>
                <w:color w:val="00853C"/>
                <w:sz w:val="24"/>
                <w:szCs w:val="24"/>
              </w:rPr>
            </w:pPr>
            <w:r w:rsidRPr="00C31EB7">
              <w:rPr>
                <w:rFonts w:ascii="Arial" w:hAnsi="Arial" w:cs="Arial"/>
                <w:sz w:val="24"/>
                <w:szCs w:val="24"/>
              </w:rPr>
              <w:t>QHSN42</w:t>
            </w:r>
          </w:p>
        </w:tc>
        <w:tc>
          <w:tcPr>
            <w:tcW w:w="7839" w:type="dxa"/>
            <w:vAlign w:val="center"/>
          </w:tcPr>
          <w:p w14:paraId="7AD73AA2" w14:textId="77777777" w:rsidR="00872E36" w:rsidRPr="00C31EB7" w:rsidRDefault="00872E36" w:rsidP="00FE0594">
            <w:pPr>
              <w:pStyle w:val="Heading6"/>
              <w:outlineLvl w:val="5"/>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Built to Rent Accommodation</w:t>
            </w:r>
          </w:p>
          <w:p w14:paraId="2DF1535C" w14:textId="77777777" w:rsidR="00872E36" w:rsidRPr="00C31EB7" w:rsidRDefault="00872E36"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C31EB7">
              <w:rPr>
                <w:rFonts w:ascii="Arial" w:hAnsi="Arial" w:cs="Arial"/>
                <w:sz w:val="24"/>
                <w:szCs w:val="24"/>
              </w:rPr>
              <w:t>To foster community both within a BTR scheme and to encourage its integration into the existing community, the applicant will be requested to provide an evidenced based analysis that the proposed resident support facilities are appropriate to the intended rental market having regard to the scale and location of the proposal.  The applicant must also demonstrate how the BTR scheme must contribute to the sustainable development of the broader community and neighbourhood.</w:t>
            </w:r>
          </w:p>
        </w:tc>
      </w:tr>
    </w:tbl>
    <w:p w14:paraId="1D5CE57B" w14:textId="77777777" w:rsidR="00AA73C5" w:rsidRDefault="00AA73C5" w:rsidP="003B76E8">
      <w:pPr>
        <w:jc w:val="both"/>
        <w:rPr>
          <w:rFonts w:ascii="Arial" w:hAnsi="Arial" w:cs="Arial"/>
          <w:bCs/>
          <w:sz w:val="20"/>
          <w:szCs w:val="20"/>
        </w:rPr>
      </w:pPr>
    </w:p>
    <w:p w14:paraId="0BEC6D75" w14:textId="68C4DEB0" w:rsidR="00C31EB7" w:rsidRPr="00C31EB7" w:rsidRDefault="00C31EB7" w:rsidP="00C31EB7">
      <w:pPr>
        <w:pStyle w:val="Default"/>
        <w:rPr>
          <w:rFonts w:ascii="Arial" w:hAnsi="Arial" w:cs="Arial"/>
          <w:color w:val="00B0F0"/>
        </w:rPr>
      </w:pPr>
      <w:r>
        <w:rPr>
          <w:rFonts w:ascii="Arial" w:hAnsi="Arial" w:cs="Arial"/>
          <w:color w:val="00B0F0"/>
        </w:rPr>
        <w:t>Remove Policy Q</w:t>
      </w:r>
      <w:r w:rsidR="00B93380">
        <w:rPr>
          <w:rFonts w:ascii="Arial" w:hAnsi="Arial" w:cs="Arial"/>
          <w:color w:val="00B0F0"/>
        </w:rPr>
        <w:t>HSN44 and replace with</w:t>
      </w:r>
      <w:r>
        <w:rPr>
          <w:rFonts w:ascii="Arial" w:hAnsi="Arial" w:cs="Arial"/>
          <w:color w:val="00B0F0"/>
        </w:rPr>
        <w:t xml:space="preserve"> updated Policy QHSN44</w:t>
      </w:r>
      <w:r w:rsidRPr="00C31EB7">
        <w:rPr>
          <w:rFonts w:ascii="Arial" w:hAnsi="Arial" w:cs="Arial"/>
          <w:color w:val="00B0F0"/>
        </w:rPr>
        <w:t>:</w:t>
      </w:r>
    </w:p>
    <w:p w14:paraId="082FD0B6" w14:textId="77777777" w:rsidR="00C31EB7" w:rsidRPr="00C31EB7" w:rsidRDefault="00C31EB7" w:rsidP="00C31EB7">
      <w:pPr>
        <w:pStyle w:val="Default"/>
        <w:rPr>
          <w:rFonts w:ascii="Arial" w:hAnsi="Arial" w:cs="Arial"/>
          <w:b/>
        </w:rPr>
      </w:pPr>
    </w:p>
    <w:p w14:paraId="2D669A3A" w14:textId="77777777" w:rsidR="00C31EB7" w:rsidRPr="00C31EB7" w:rsidRDefault="00C31EB7" w:rsidP="00C31EB7">
      <w:pPr>
        <w:pStyle w:val="Default"/>
        <w:rPr>
          <w:rFonts w:ascii="Arial" w:hAnsi="Arial" w:cs="Arial"/>
        </w:rPr>
      </w:pPr>
      <w:r w:rsidRPr="00C31EB7">
        <w:rPr>
          <w:rFonts w:ascii="Arial" w:hAnsi="Arial" w:cs="Arial"/>
        </w:rPr>
        <w:t>Delete:</w:t>
      </w:r>
    </w:p>
    <w:p w14:paraId="2CB0D7B0" w14:textId="77777777" w:rsidR="00C31EB7" w:rsidRPr="00C31EB7" w:rsidRDefault="00C31EB7" w:rsidP="00C31EB7">
      <w:pPr>
        <w:pStyle w:val="Heading6"/>
        <w:rPr>
          <w:rFonts w:ascii="Arial" w:hAnsi="Arial" w:cs="Arial"/>
          <w:sz w:val="24"/>
          <w:szCs w:val="24"/>
        </w:rPr>
      </w:pPr>
      <w:r w:rsidRPr="00C31EB7">
        <w:rPr>
          <w:rFonts w:ascii="Arial" w:hAnsi="Arial" w:cs="Arial"/>
          <w:sz w:val="24"/>
          <w:szCs w:val="24"/>
        </w:rPr>
        <w:t>Build to Rent/Student Accommodation/Co-living Development</w:t>
      </w:r>
    </w:p>
    <w:p w14:paraId="7063A0F1" w14:textId="174F44AB" w:rsidR="00C31EB7" w:rsidRPr="00C31EB7" w:rsidRDefault="00C31EB7" w:rsidP="00C31EB7">
      <w:pPr>
        <w:pStyle w:val="Default"/>
        <w:rPr>
          <w:rFonts w:ascii="Arial" w:hAnsi="Arial" w:cs="Arial"/>
        </w:rPr>
      </w:pPr>
      <w:r w:rsidRPr="00C31EB7">
        <w:rPr>
          <w:rFonts w:ascii="Arial" w:hAnsi="Arial" w:cs="Arial"/>
        </w:rPr>
        <w:t>It is the policy of DCC to avoid the proliferation and concentration of clusters of build to rent/student accommodation/co-living development in any area of the city.</w:t>
      </w:r>
    </w:p>
    <w:p w14:paraId="3B0B19A1" w14:textId="77777777" w:rsidR="00C31EB7" w:rsidRDefault="00C31EB7" w:rsidP="00C31EB7">
      <w:pPr>
        <w:pStyle w:val="Default"/>
        <w:rPr>
          <w:rFonts w:ascii="Arial" w:hAnsi="Arial" w:cs="Arial"/>
          <w:color w:val="auto"/>
        </w:rPr>
      </w:pPr>
    </w:p>
    <w:p w14:paraId="39223895" w14:textId="570A23C5" w:rsidR="00C31EB7" w:rsidRPr="00C31EB7" w:rsidRDefault="00C31EB7" w:rsidP="00C31EB7">
      <w:pPr>
        <w:pStyle w:val="Default"/>
        <w:rPr>
          <w:rFonts w:ascii="Arial" w:hAnsi="Arial" w:cs="Arial"/>
          <w:color w:val="auto"/>
        </w:rPr>
      </w:pPr>
      <w:r w:rsidRPr="00C31EB7">
        <w:rPr>
          <w:rFonts w:ascii="Arial" w:hAnsi="Arial" w:cs="Arial"/>
          <w:color w:val="auto"/>
        </w:rPr>
        <w:t>Insert:</w:t>
      </w:r>
    </w:p>
    <w:p w14:paraId="64AE3523" w14:textId="7D9B15ED" w:rsidR="00C31EB7" w:rsidRPr="009F599C" w:rsidRDefault="00C31EB7" w:rsidP="00C31EB7">
      <w:pPr>
        <w:pStyle w:val="Heading6"/>
        <w:rPr>
          <w:rFonts w:ascii="Arial" w:hAnsi="Arial" w:cs="Arial"/>
          <w:sz w:val="24"/>
          <w:szCs w:val="24"/>
        </w:rPr>
      </w:pPr>
      <w:r w:rsidRPr="009F599C">
        <w:rPr>
          <w:rFonts w:ascii="Arial" w:hAnsi="Arial" w:cs="Arial"/>
          <w:sz w:val="24"/>
          <w:szCs w:val="24"/>
        </w:rPr>
        <w:t>Student Accommodation/Co-living Development</w:t>
      </w:r>
    </w:p>
    <w:p w14:paraId="76F15043" w14:textId="01F85401" w:rsidR="00C31EB7" w:rsidRDefault="00C31EB7" w:rsidP="00C31EB7">
      <w:pPr>
        <w:jc w:val="both"/>
        <w:rPr>
          <w:rFonts w:ascii="Arial" w:hAnsi="Arial" w:cs="Arial"/>
          <w:b/>
          <w:sz w:val="28"/>
          <w:szCs w:val="28"/>
        </w:rPr>
      </w:pPr>
      <w:r w:rsidRPr="009F599C">
        <w:rPr>
          <w:rFonts w:ascii="Arial" w:hAnsi="Arial" w:cs="Arial"/>
          <w:sz w:val="24"/>
          <w:szCs w:val="24"/>
        </w:rPr>
        <w:t>It is the policy of DCC to avoid the proliferation and concentration of clusters of student accommodation/co-living development in any area of the city.</w:t>
      </w:r>
    </w:p>
    <w:p w14:paraId="156527A2" w14:textId="77777777" w:rsidR="00C31EB7" w:rsidRDefault="00C31EB7" w:rsidP="00F34763">
      <w:pPr>
        <w:jc w:val="both"/>
        <w:rPr>
          <w:rFonts w:ascii="Arial" w:hAnsi="Arial" w:cs="Arial"/>
          <w:b/>
          <w:sz w:val="28"/>
          <w:szCs w:val="28"/>
        </w:rPr>
      </w:pPr>
    </w:p>
    <w:p w14:paraId="0FDC6179" w14:textId="22A0FF0C" w:rsidR="003B76E8" w:rsidRDefault="00FC0F7D" w:rsidP="00F34763">
      <w:pPr>
        <w:jc w:val="both"/>
        <w:rPr>
          <w:rFonts w:ascii="Arial" w:hAnsi="Arial" w:cs="Arial"/>
          <w:b/>
          <w:sz w:val="28"/>
          <w:szCs w:val="28"/>
        </w:rPr>
      </w:pPr>
      <w:r w:rsidRPr="00FC0F7D">
        <w:rPr>
          <w:rFonts w:ascii="Arial" w:hAnsi="Arial" w:cs="Arial"/>
          <w:b/>
          <w:sz w:val="28"/>
          <w:szCs w:val="28"/>
        </w:rPr>
        <w:t>Chapter 14 Land Use Zoning</w:t>
      </w:r>
    </w:p>
    <w:p w14:paraId="4AEF7979" w14:textId="519D04B3" w:rsidR="004F21F4" w:rsidRDefault="004F21F4" w:rsidP="00022E52">
      <w:pPr>
        <w:rPr>
          <w:rFonts w:ascii="Arial" w:hAnsi="Arial" w:cs="Arial"/>
          <w:color w:val="00B0F0"/>
          <w:sz w:val="24"/>
          <w:szCs w:val="24"/>
        </w:rPr>
      </w:pPr>
      <w:r w:rsidRPr="006166AB">
        <w:rPr>
          <w:rFonts w:ascii="Arial" w:hAnsi="Arial" w:cs="Arial"/>
          <w:color w:val="00B0F0"/>
          <w:sz w:val="24"/>
          <w:szCs w:val="24"/>
        </w:rPr>
        <w:t xml:space="preserve">Delete the </w:t>
      </w:r>
      <w:r w:rsidR="00A522DF" w:rsidRPr="006166AB">
        <w:rPr>
          <w:rFonts w:ascii="Arial" w:hAnsi="Arial" w:cs="Arial"/>
          <w:color w:val="00B0F0"/>
          <w:sz w:val="24"/>
          <w:szCs w:val="24"/>
        </w:rPr>
        <w:t xml:space="preserve">third paragraph </w:t>
      </w:r>
      <w:r w:rsidR="006166AB" w:rsidRPr="006166AB">
        <w:rPr>
          <w:rFonts w:ascii="Arial" w:hAnsi="Arial" w:cs="Arial"/>
          <w:color w:val="00B0F0"/>
          <w:sz w:val="24"/>
          <w:szCs w:val="24"/>
        </w:rPr>
        <w:t>of Section 14.7.1 Sustainable Residential Neighbourhoods – Z1</w:t>
      </w:r>
    </w:p>
    <w:p w14:paraId="0FCA1E19" w14:textId="29656377" w:rsidR="006166AB" w:rsidRPr="006166AB" w:rsidRDefault="006166AB" w:rsidP="00022E52">
      <w:pPr>
        <w:rPr>
          <w:rFonts w:ascii="Arial" w:hAnsi="Arial" w:cs="Arial"/>
          <w:sz w:val="24"/>
          <w:szCs w:val="24"/>
        </w:rPr>
      </w:pPr>
      <w:r w:rsidRPr="006166AB">
        <w:rPr>
          <w:rFonts w:ascii="Arial" w:hAnsi="Arial" w:cs="Arial"/>
          <w:sz w:val="24"/>
          <w:szCs w:val="24"/>
        </w:rPr>
        <w:t>Delete:</w:t>
      </w:r>
    </w:p>
    <w:p w14:paraId="70B0D4D3" w14:textId="3FE9F22B" w:rsidR="00022E52" w:rsidRPr="006166AB" w:rsidRDefault="00022E52" w:rsidP="00022E52">
      <w:pPr>
        <w:rPr>
          <w:rFonts w:ascii="Arial" w:hAnsi="Arial" w:cs="Arial"/>
          <w:sz w:val="24"/>
          <w:szCs w:val="24"/>
        </w:rPr>
      </w:pPr>
      <w:r w:rsidRPr="006166AB">
        <w:rPr>
          <w:rFonts w:ascii="Arial" w:hAnsi="Arial" w:cs="Arial"/>
          <w:sz w:val="24"/>
          <w:szCs w:val="24"/>
        </w:rPr>
        <w:t xml:space="preserve">In order to achieve a sustainable tenure mix in neighbourhoods, the Build to </w:t>
      </w:r>
      <w:proofErr w:type="gramStart"/>
      <w:r w:rsidRPr="006166AB">
        <w:rPr>
          <w:rFonts w:ascii="Arial" w:hAnsi="Arial" w:cs="Arial"/>
          <w:sz w:val="24"/>
          <w:szCs w:val="24"/>
        </w:rPr>
        <w:t>Rent</w:t>
      </w:r>
      <w:proofErr w:type="gramEnd"/>
      <w:r w:rsidRPr="006166AB">
        <w:rPr>
          <w:rFonts w:ascii="Arial" w:hAnsi="Arial" w:cs="Arial"/>
          <w:sz w:val="24"/>
          <w:szCs w:val="24"/>
        </w:rPr>
        <w:t xml:space="preserve"> residential typology is predominantly in the open for consideration category.</w:t>
      </w:r>
    </w:p>
    <w:p w14:paraId="4A1A9CEC" w14:textId="6C4199CE" w:rsidR="00A639C9" w:rsidRDefault="00A639C9" w:rsidP="004F21F4">
      <w:pPr>
        <w:jc w:val="both"/>
        <w:rPr>
          <w:rFonts w:ascii="Arial" w:hAnsi="Arial" w:cs="Arial"/>
          <w:bCs/>
          <w:sz w:val="24"/>
          <w:szCs w:val="24"/>
          <w:highlight w:val="yellow"/>
        </w:rPr>
      </w:pPr>
    </w:p>
    <w:p w14:paraId="0D66E53C" w14:textId="2BCA595A" w:rsidR="006166AB" w:rsidRPr="00CB0CE0" w:rsidRDefault="006166AB" w:rsidP="006166AB">
      <w:pPr>
        <w:rPr>
          <w:rFonts w:ascii="Arial" w:hAnsi="Arial" w:cs="Arial"/>
          <w:color w:val="00B0F0"/>
          <w:sz w:val="24"/>
          <w:szCs w:val="24"/>
        </w:rPr>
      </w:pPr>
      <w:r w:rsidRPr="00CB0CE0">
        <w:rPr>
          <w:rFonts w:ascii="Arial" w:hAnsi="Arial" w:cs="Arial"/>
          <w:color w:val="00B0F0"/>
          <w:sz w:val="24"/>
          <w:szCs w:val="24"/>
        </w:rPr>
        <w:lastRenderedPageBreak/>
        <w:t xml:space="preserve">Under </w:t>
      </w:r>
      <w:r w:rsidR="00CB0CE0">
        <w:rPr>
          <w:rFonts w:ascii="Arial" w:hAnsi="Arial" w:cs="Arial"/>
          <w:color w:val="00B0F0"/>
          <w:sz w:val="24"/>
          <w:szCs w:val="24"/>
        </w:rPr>
        <w:t>Section</w:t>
      </w:r>
      <w:r w:rsidR="00CB0CE0" w:rsidRPr="00CB0CE0">
        <w:rPr>
          <w:rFonts w:ascii="Arial" w:hAnsi="Arial" w:cs="Arial"/>
          <w:color w:val="00B0F0"/>
          <w:sz w:val="24"/>
          <w:szCs w:val="24"/>
        </w:rPr>
        <w:t>14.7.1</w:t>
      </w:r>
      <w:r w:rsidR="00CB0CE0">
        <w:rPr>
          <w:rFonts w:ascii="Arial" w:hAnsi="Arial" w:cs="Arial"/>
          <w:color w:val="00B0F0"/>
          <w:sz w:val="24"/>
          <w:szCs w:val="24"/>
        </w:rPr>
        <w:t xml:space="preserve">, </w:t>
      </w:r>
      <w:r w:rsidRPr="00CB0CE0">
        <w:rPr>
          <w:rFonts w:ascii="Arial" w:hAnsi="Arial" w:cs="Arial"/>
          <w:color w:val="00B0F0"/>
          <w:sz w:val="24"/>
          <w:szCs w:val="24"/>
          <w:u w:val="single"/>
        </w:rPr>
        <w:t>Z1 – Open for Consideration Uses</w:t>
      </w:r>
      <w:r w:rsidRPr="00CB0CE0">
        <w:rPr>
          <w:rFonts w:ascii="Arial" w:hAnsi="Arial" w:cs="Arial"/>
          <w:color w:val="00B0F0"/>
          <w:sz w:val="24"/>
          <w:szCs w:val="24"/>
        </w:rPr>
        <w:t xml:space="preserve">, delete the following: </w:t>
      </w:r>
    </w:p>
    <w:p w14:paraId="3F74DF0D" w14:textId="77777777" w:rsidR="006166AB" w:rsidRPr="006166AB" w:rsidRDefault="006166AB" w:rsidP="006166AB">
      <w:pPr>
        <w:rPr>
          <w:rFonts w:ascii="Arial" w:hAnsi="Arial" w:cs="Arial"/>
          <w:sz w:val="24"/>
          <w:szCs w:val="24"/>
        </w:rPr>
      </w:pPr>
      <w:r w:rsidRPr="006166AB">
        <w:rPr>
          <w:rFonts w:ascii="Arial" w:hAnsi="Arial" w:cs="Arial"/>
          <w:sz w:val="24"/>
          <w:szCs w:val="24"/>
        </w:rPr>
        <w:t>Delete:</w:t>
      </w:r>
    </w:p>
    <w:p w14:paraId="2A7EA3A0" w14:textId="3F5DC287" w:rsidR="00A639C9" w:rsidRDefault="00A639C9" w:rsidP="00A639C9">
      <w:pPr>
        <w:rPr>
          <w:rFonts w:ascii="Arial" w:hAnsi="Arial" w:cs="Arial"/>
          <w:sz w:val="24"/>
          <w:szCs w:val="24"/>
        </w:rPr>
      </w:pPr>
      <w:r w:rsidRPr="006166AB">
        <w:rPr>
          <w:rFonts w:ascii="Arial" w:hAnsi="Arial" w:cs="Arial"/>
          <w:sz w:val="24"/>
          <w:szCs w:val="24"/>
        </w:rPr>
        <w:t>Build to Rent</w:t>
      </w:r>
      <w:r w:rsidR="00A522DF" w:rsidRPr="006166AB">
        <w:rPr>
          <w:rFonts w:ascii="Arial" w:hAnsi="Arial" w:cs="Arial"/>
          <w:sz w:val="24"/>
          <w:szCs w:val="24"/>
        </w:rPr>
        <w:t xml:space="preserve"> residential,</w:t>
      </w:r>
    </w:p>
    <w:p w14:paraId="0AFC83B9" w14:textId="1455F90C" w:rsidR="006166AB" w:rsidRDefault="006166AB" w:rsidP="00A639C9">
      <w:pPr>
        <w:rPr>
          <w:rFonts w:ascii="Arial" w:hAnsi="Arial" w:cs="Arial"/>
          <w:sz w:val="24"/>
          <w:szCs w:val="24"/>
        </w:rPr>
      </w:pPr>
    </w:p>
    <w:p w14:paraId="09A9E1FE" w14:textId="4A654414" w:rsidR="00CB0CE0" w:rsidRPr="00CB0CE0" w:rsidRDefault="00CB0CE0" w:rsidP="00CB0CE0">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Section14.7.2</w:t>
      </w:r>
      <w:r w:rsidR="00C85F79">
        <w:rPr>
          <w:rFonts w:ascii="Arial" w:hAnsi="Arial" w:cs="Arial"/>
          <w:color w:val="00B0F0"/>
          <w:sz w:val="24"/>
          <w:szCs w:val="24"/>
        </w:rPr>
        <w:t xml:space="preserve">, </w:t>
      </w:r>
      <w:r w:rsidR="00C85F79" w:rsidRPr="00C85F79">
        <w:rPr>
          <w:rFonts w:ascii="Arial" w:hAnsi="Arial" w:cs="Arial"/>
          <w:color w:val="00B0F0"/>
          <w:sz w:val="24"/>
          <w:szCs w:val="24"/>
          <w:u w:val="single"/>
        </w:rPr>
        <w:t>Z2</w:t>
      </w:r>
      <w:r w:rsidRPr="00C85F79">
        <w:rPr>
          <w:rFonts w:ascii="Arial" w:hAnsi="Arial" w:cs="Arial"/>
          <w:color w:val="00B0F0"/>
          <w:sz w:val="24"/>
          <w:szCs w:val="24"/>
          <w:u w:val="single"/>
        </w:rPr>
        <w:t xml:space="preserve"> –</w:t>
      </w:r>
      <w:r w:rsidRPr="00CB0CE0">
        <w:rPr>
          <w:rFonts w:ascii="Arial" w:hAnsi="Arial" w:cs="Arial"/>
          <w:color w:val="00B0F0"/>
          <w:sz w:val="24"/>
          <w:szCs w:val="24"/>
          <w:u w:val="single"/>
        </w:rPr>
        <w:t xml:space="preserve"> Open for Consideration Uses</w:t>
      </w:r>
      <w:r w:rsidRPr="00CB0CE0">
        <w:rPr>
          <w:rFonts w:ascii="Arial" w:hAnsi="Arial" w:cs="Arial"/>
          <w:color w:val="00B0F0"/>
          <w:sz w:val="24"/>
          <w:szCs w:val="24"/>
        </w:rPr>
        <w:t xml:space="preserve">, delete the following: </w:t>
      </w:r>
    </w:p>
    <w:p w14:paraId="554F84CB" w14:textId="77777777" w:rsidR="00CB0CE0" w:rsidRPr="006166AB" w:rsidRDefault="00CB0CE0" w:rsidP="00CB0CE0">
      <w:pPr>
        <w:rPr>
          <w:rFonts w:ascii="Arial" w:hAnsi="Arial" w:cs="Arial"/>
          <w:sz w:val="24"/>
          <w:szCs w:val="24"/>
        </w:rPr>
      </w:pPr>
      <w:r w:rsidRPr="006166AB">
        <w:rPr>
          <w:rFonts w:ascii="Arial" w:hAnsi="Arial" w:cs="Arial"/>
          <w:sz w:val="24"/>
          <w:szCs w:val="24"/>
        </w:rPr>
        <w:t>Delete:</w:t>
      </w:r>
    </w:p>
    <w:p w14:paraId="66A65070" w14:textId="77777777" w:rsidR="00CB0CE0" w:rsidRDefault="00CB0CE0" w:rsidP="00CB0CE0">
      <w:pPr>
        <w:rPr>
          <w:rFonts w:ascii="Arial" w:hAnsi="Arial" w:cs="Arial"/>
          <w:sz w:val="24"/>
          <w:szCs w:val="24"/>
        </w:rPr>
      </w:pPr>
      <w:r w:rsidRPr="006166AB">
        <w:rPr>
          <w:rFonts w:ascii="Arial" w:hAnsi="Arial" w:cs="Arial"/>
          <w:sz w:val="24"/>
          <w:szCs w:val="24"/>
        </w:rPr>
        <w:t>Build to Rent residential,</w:t>
      </w:r>
    </w:p>
    <w:p w14:paraId="239FFE68" w14:textId="77777777" w:rsidR="006166AB" w:rsidRDefault="006166AB" w:rsidP="00682C21">
      <w:pPr>
        <w:pStyle w:val="Default"/>
        <w:rPr>
          <w:rFonts w:ascii="Arial" w:hAnsi="Arial" w:cs="Arial"/>
          <w:b/>
        </w:rPr>
      </w:pPr>
    </w:p>
    <w:p w14:paraId="408E4631" w14:textId="77777777" w:rsidR="006166AB" w:rsidRDefault="006166AB" w:rsidP="00682C21">
      <w:pPr>
        <w:pStyle w:val="Default"/>
        <w:rPr>
          <w:rFonts w:ascii="Arial" w:hAnsi="Arial" w:cs="Arial"/>
          <w:b/>
        </w:rPr>
      </w:pPr>
    </w:p>
    <w:p w14:paraId="5D1866AA" w14:textId="4A1FF988" w:rsidR="00CB0CE0" w:rsidRPr="00CB0CE0" w:rsidRDefault="00CB0CE0" w:rsidP="00CB0CE0">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Section14.7.4</w:t>
      </w:r>
      <w:r w:rsidR="00C85F79">
        <w:rPr>
          <w:rFonts w:ascii="Arial" w:hAnsi="Arial" w:cs="Arial"/>
          <w:color w:val="00B0F0"/>
          <w:sz w:val="24"/>
          <w:szCs w:val="24"/>
        </w:rPr>
        <w:t xml:space="preserve">, </w:t>
      </w:r>
      <w:r w:rsidR="00C85F79" w:rsidRPr="00C85F79">
        <w:rPr>
          <w:rFonts w:ascii="Arial" w:hAnsi="Arial" w:cs="Arial"/>
          <w:color w:val="00B0F0"/>
          <w:sz w:val="24"/>
          <w:szCs w:val="24"/>
          <w:u w:val="single"/>
        </w:rPr>
        <w:t>Z4</w:t>
      </w:r>
      <w:r w:rsidRPr="00C85F79">
        <w:rPr>
          <w:rFonts w:ascii="Arial" w:hAnsi="Arial" w:cs="Arial"/>
          <w:color w:val="00B0F0"/>
          <w:sz w:val="24"/>
          <w:szCs w:val="24"/>
          <w:u w:val="single"/>
        </w:rPr>
        <w:t xml:space="preserve"> </w:t>
      </w:r>
      <w:r w:rsidRPr="00CB0CE0">
        <w:rPr>
          <w:rFonts w:ascii="Arial" w:hAnsi="Arial" w:cs="Arial"/>
          <w:color w:val="00B0F0"/>
          <w:sz w:val="24"/>
          <w:szCs w:val="24"/>
          <w:u w:val="single"/>
        </w:rPr>
        <w:t>– Open for Consideration Uses</w:t>
      </w:r>
      <w:r w:rsidRPr="00CB0CE0">
        <w:rPr>
          <w:rFonts w:ascii="Arial" w:hAnsi="Arial" w:cs="Arial"/>
          <w:color w:val="00B0F0"/>
          <w:sz w:val="24"/>
          <w:szCs w:val="24"/>
        </w:rPr>
        <w:t xml:space="preserve">, delete the following: </w:t>
      </w:r>
    </w:p>
    <w:p w14:paraId="0C276E0A" w14:textId="77777777" w:rsidR="00CB0CE0" w:rsidRPr="006166AB" w:rsidRDefault="00CB0CE0" w:rsidP="00CB0CE0">
      <w:pPr>
        <w:rPr>
          <w:rFonts w:ascii="Arial" w:hAnsi="Arial" w:cs="Arial"/>
          <w:sz w:val="24"/>
          <w:szCs w:val="24"/>
        </w:rPr>
      </w:pPr>
      <w:r w:rsidRPr="006166AB">
        <w:rPr>
          <w:rFonts w:ascii="Arial" w:hAnsi="Arial" w:cs="Arial"/>
          <w:sz w:val="24"/>
          <w:szCs w:val="24"/>
        </w:rPr>
        <w:t>Delete:</w:t>
      </w:r>
    </w:p>
    <w:p w14:paraId="5FB526C9" w14:textId="77777777" w:rsidR="00CB0CE0" w:rsidRDefault="00CB0CE0" w:rsidP="00CB0CE0">
      <w:pPr>
        <w:rPr>
          <w:rFonts w:ascii="Arial" w:hAnsi="Arial" w:cs="Arial"/>
          <w:sz w:val="24"/>
          <w:szCs w:val="24"/>
        </w:rPr>
      </w:pPr>
      <w:r w:rsidRPr="006166AB">
        <w:rPr>
          <w:rFonts w:ascii="Arial" w:hAnsi="Arial" w:cs="Arial"/>
          <w:sz w:val="24"/>
          <w:szCs w:val="24"/>
        </w:rPr>
        <w:t>Build to Rent residential,</w:t>
      </w:r>
    </w:p>
    <w:p w14:paraId="63D68BBD" w14:textId="77777777" w:rsidR="006166AB" w:rsidRDefault="006166AB" w:rsidP="00682C21">
      <w:pPr>
        <w:pStyle w:val="Default"/>
        <w:rPr>
          <w:rFonts w:ascii="Arial" w:hAnsi="Arial" w:cs="Arial"/>
          <w:b/>
        </w:rPr>
      </w:pPr>
    </w:p>
    <w:p w14:paraId="7461D7CE" w14:textId="50794294" w:rsidR="00942FA4" w:rsidRPr="00CB0CE0" w:rsidRDefault="00942FA4" w:rsidP="00942FA4">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 xml:space="preserve">Section14.7.5, </w:t>
      </w:r>
      <w:r w:rsidRPr="00C85F79">
        <w:rPr>
          <w:rFonts w:ascii="Arial" w:hAnsi="Arial" w:cs="Arial"/>
          <w:color w:val="00B0F0"/>
          <w:sz w:val="24"/>
          <w:szCs w:val="24"/>
          <w:u w:val="single"/>
        </w:rPr>
        <w:t xml:space="preserve">Z5 </w:t>
      </w:r>
      <w:r w:rsidRPr="00CB0CE0">
        <w:rPr>
          <w:rFonts w:ascii="Arial" w:hAnsi="Arial" w:cs="Arial"/>
          <w:color w:val="00B0F0"/>
          <w:sz w:val="24"/>
          <w:szCs w:val="24"/>
          <w:u w:val="single"/>
        </w:rPr>
        <w:t>– Open for Consideration Uses</w:t>
      </w:r>
      <w:r w:rsidRPr="00CB0CE0">
        <w:rPr>
          <w:rFonts w:ascii="Arial" w:hAnsi="Arial" w:cs="Arial"/>
          <w:color w:val="00B0F0"/>
          <w:sz w:val="24"/>
          <w:szCs w:val="24"/>
        </w:rPr>
        <w:t xml:space="preserve">, delete the following: </w:t>
      </w:r>
    </w:p>
    <w:p w14:paraId="68A0EF9F" w14:textId="77777777" w:rsidR="00942FA4" w:rsidRPr="006166AB" w:rsidRDefault="00942FA4" w:rsidP="00942FA4">
      <w:pPr>
        <w:rPr>
          <w:rFonts w:ascii="Arial" w:hAnsi="Arial" w:cs="Arial"/>
          <w:sz w:val="24"/>
          <w:szCs w:val="24"/>
        </w:rPr>
      </w:pPr>
      <w:r w:rsidRPr="006166AB">
        <w:rPr>
          <w:rFonts w:ascii="Arial" w:hAnsi="Arial" w:cs="Arial"/>
          <w:sz w:val="24"/>
          <w:szCs w:val="24"/>
        </w:rPr>
        <w:t>Delete:</w:t>
      </w:r>
    </w:p>
    <w:p w14:paraId="01159549" w14:textId="77777777" w:rsidR="00942FA4" w:rsidRDefault="00942FA4" w:rsidP="00942FA4">
      <w:pPr>
        <w:rPr>
          <w:rFonts w:ascii="Arial" w:hAnsi="Arial" w:cs="Arial"/>
          <w:sz w:val="24"/>
          <w:szCs w:val="24"/>
        </w:rPr>
      </w:pPr>
      <w:r w:rsidRPr="006166AB">
        <w:rPr>
          <w:rFonts w:ascii="Arial" w:hAnsi="Arial" w:cs="Arial"/>
          <w:sz w:val="24"/>
          <w:szCs w:val="24"/>
        </w:rPr>
        <w:t>Build to Rent residential,</w:t>
      </w:r>
    </w:p>
    <w:p w14:paraId="21A00536" w14:textId="12F49C2C" w:rsidR="004F21F4" w:rsidRDefault="004F21F4" w:rsidP="00022E52">
      <w:pPr>
        <w:rPr>
          <w:rFonts w:ascii="Arial" w:hAnsi="Arial" w:cs="Arial"/>
          <w:strike/>
          <w:sz w:val="24"/>
          <w:szCs w:val="24"/>
        </w:rPr>
      </w:pPr>
    </w:p>
    <w:p w14:paraId="6FC1ED04" w14:textId="2F1327E3" w:rsidR="00942FA4" w:rsidRPr="00CB0CE0" w:rsidRDefault="00942FA4" w:rsidP="00942FA4">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 xml:space="preserve">Section14.7.10, </w:t>
      </w:r>
      <w:r w:rsidRPr="00C85F79">
        <w:rPr>
          <w:rFonts w:ascii="Arial" w:hAnsi="Arial" w:cs="Arial"/>
          <w:color w:val="00B0F0"/>
          <w:sz w:val="24"/>
          <w:szCs w:val="24"/>
          <w:u w:val="single"/>
        </w:rPr>
        <w:t>Z10 –</w:t>
      </w:r>
      <w:r w:rsidRPr="00CB0CE0">
        <w:rPr>
          <w:rFonts w:ascii="Arial" w:hAnsi="Arial" w:cs="Arial"/>
          <w:color w:val="00B0F0"/>
          <w:sz w:val="24"/>
          <w:szCs w:val="24"/>
          <w:u w:val="single"/>
        </w:rPr>
        <w:t xml:space="preserve"> Open for Consideration Uses</w:t>
      </w:r>
      <w:r w:rsidRPr="00CB0CE0">
        <w:rPr>
          <w:rFonts w:ascii="Arial" w:hAnsi="Arial" w:cs="Arial"/>
          <w:color w:val="00B0F0"/>
          <w:sz w:val="24"/>
          <w:szCs w:val="24"/>
        </w:rPr>
        <w:t xml:space="preserve">, delete the following: </w:t>
      </w:r>
    </w:p>
    <w:p w14:paraId="7DAEA730" w14:textId="77777777" w:rsidR="00942FA4" w:rsidRPr="006166AB" w:rsidRDefault="00942FA4" w:rsidP="00942FA4">
      <w:pPr>
        <w:rPr>
          <w:rFonts w:ascii="Arial" w:hAnsi="Arial" w:cs="Arial"/>
          <w:sz w:val="24"/>
          <w:szCs w:val="24"/>
        </w:rPr>
      </w:pPr>
      <w:r w:rsidRPr="006166AB">
        <w:rPr>
          <w:rFonts w:ascii="Arial" w:hAnsi="Arial" w:cs="Arial"/>
          <w:sz w:val="24"/>
          <w:szCs w:val="24"/>
        </w:rPr>
        <w:t>Delete:</w:t>
      </w:r>
    </w:p>
    <w:p w14:paraId="3050DCA4" w14:textId="77777777" w:rsidR="00942FA4" w:rsidRDefault="00942FA4" w:rsidP="00942FA4">
      <w:pPr>
        <w:rPr>
          <w:rFonts w:ascii="Arial" w:hAnsi="Arial" w:cs="Arial"/>
          <w:sz w:val="24"/>
          <w:szCs w:val="24"/>
        </w:rPr>
      </w:pPr>
      <w:r w:rsidRPr="006166AB">
        <w:rPr>
          <w:rFonts w:ascii="Arial" w:hAnsi="Arial" w:cs="Arial"/>
          <w:sz w:val="24"/>
          <w:szCs w:val="24"/>
        </w:rPr>
        <w:t>Build to Rent residential,</w:t>
      </w:r>
    </w:p>
    <w:p w14:paraId="19FB5846" w14:textId="29FB3D4C" w:rsidR="004F21F4" w:rsidRDefault="004F21F4" w:rsidP="00022E52">
      <w:pPr>
        <w:rPr>
          <w:rFonts w:ascii="Arial" w:hAnsi="Arial" w:cs="Arial"/>
          <w:strike/>
          <w:sz w:val="24"/>
          <w:szCs w:val="24"/>
        </w:rPr>
      </w:pPr>
    </w:p>
    <w:p w14:paraId="77B3511B" w14:textId="39E44DB9" w:rsidR="00942FA4" w:rsidRPr="00CB0CE0" w:rsidRDefault="00942FA4" w:rsidP="00942FA4">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 xml:space="preserve">Section14.7.12, </w:t>
      </w:r>
      <w:r w:rsidRPr="00C85F79">
        <w:rPr>
          <w:rFonts w:ascii="Arial" w:hAnsi="Arial" w:cs="Arial"/>
          <w:color w:val="00B0F0"/>
          <w:sz w:val="24"/>
          <w:szCs w:val="24"/>
          <w:u w:val="single"/>
        </w:rPr>
        <w:t xml:space="preserve">Z12 </w:t>
      </w:r>
      <w:r w:rsidRPr="00CB0CE0">
        <w:rPr>
          <w:rFonts w:ascii="Arial" w:hAnsi="Arial" w:cs="Arial"/>
          <w:color w:val="00B0F0"/>
          <w:sz w:val="24"/>
          <w:szCs w:val="24"/>
          <w:u w:val="single"/>
        </w:rPr>
        <w:t>– Open for Consideration Uses</w:t>
      </w:r>
      <w:r w:rsidRPr="00CB0CE0">
        <w:rPr>
          <w:rFonts w:ascii="Arial" w:hAnsi="Arial" w:cs="Arial"/>
          <w:color w:val="00B0F0"/>
          <w:sz w:val="24"/>
          <w:szCs w:val="24"/>
        </w:rPr>
        <w:t xml:space="preserve">, delete the following: </w:t>
      </w:r>
    </w:p>
    <w:p w14:paraId="353B74AB" w14:textId="77777777" w:rsidR="00942FA4" w:rsidRPr="006166AB" w:rsidRDefault="00942FA4" w:rsidP="00942FA4">
      <w:pPr>
        <w:rPr>
          <w:rFonts w:ascii="Arial" w:hAnsi="Arial" w:cs="Arial"/>
          <w:sz w:val="24"/>
          <w:szCs w:val="24"/>
        </w:rPr>
      </w:pPr>
      <w:r w:rsidRPr="006166AB">
        <w:rPr>
          <w:rFonts w:ascii="Arial" w:hAnsi="Arial" w:cs="Arial"/>
          <w:sz w:val="24"/>
          <w:szCs w:val="24"/>
        </w:rPr>
        <w:t>Delete:</w:t>
      </w:r>
    </w:p>
    <w:p w14:paraId="44F78156" w14:textId="77777777" w:rsidR="00942FA4" w:rsidRDefault="00942FA4" w:rsidP="00942FA4">
      <w:pPr>
        <w:rPr>
          <w:rFonts w:ascii="Arial" w:hAnsi="Arial" w:cs="Arial"/>
          <w:sz w:val="24"/>
          <w:szCs w:val="24"/>
        </w:rPr>
      </w:pPr>
      <w:r w:rsidRPr="006166AB">
        <w:rPr>
          <w:rFonts w:ascii="Arial" w:hAnsi="Arial" w:cs="Arial"/>
          <w:sz w:val="24"/>
          <w:szCs w:val="24"/>
        </w:rPr>
        <w:t>Build to Rent residential,</w:t>
      </w:r>
    </w:p>
    <w:p w14:paraId="6629A971" w14:textId="6806B5D8" w:rsidR="00942FA4" w:rsidRDefault="00942FA4" w:rsidP="00942FA4">
      <w:pPr>
        <w:rPr>
          <w:rFonts w:ascii="Arial" w:hAnsi="Arial" w:cs="Arial"/>
          <w:strike/>
          <w:sz w:val="24"/>
          <w:szCs w:val="24"/>
        </w:rPr>
      </w:pPr>
    </w:p>
    <w:p w14:paraId="5E16EDB9" w14:textId="74FF1C10" w:rsidR="00942FA4" w:rsidRPr="00CB0CE0" w:rsidRDefault="00942FA4" w:rsidP="00942FA4">
      <w:pPr>
        <w:rPr>
          <w:rFonts w:ascii="Arial" w:hAnsi="Arial" w:cs="Arial"/>
          <w:color w:val="00B0F0"/>
          <w:sz w:val="24"/>
          <w:szCs w:val="24"/>
        </w:rPr>
      </w:pPr>
      <w:r w:rsidRPr="00CB0CE0">
        <w:rPr>
          <w:rFonts w:ascii="Arial" w:hAnsi="Arial" w:cs="Arial"/>
          <w:color w:val="00B0F0"/>
          <w:sz w:val="24"/>
          <w:szCs w:val="24"/>
        </w:rPr>
        <w:t xml:space="preserve">Under </w:t>
      </w:r>
      <w:r>
        <w:rPr>
          <w:rFonts w:ascii="Arial" w:hAnsi="Arial" w:cs="Arial"/>
          <w:color w:val="00B0F0"/>
          <w:sz w:val="24"/>
          <w:szCs w:val="24"/>
        </w:rPr>
        <w:t xml:space="preserve">Section14.7.13, </w:t>
      </w:r>
      <w:r w:rsidRPr="00C85F79">
        <w:rPr>
          <w:rFonts w:ascii="Arial" w:hAnsi="Arial" w:cs="Arial"/>
          <w:color w:val="00B0F0"/>
          <w:sz w:val="24"/>
          <w:szCs w:val="24"/>
          <w:u w:val="single"/>
        </w:rPr>
        <w:t>Z14 – Permissible</w:t>
      </w:r>
      <w:r w:rsidRPr="00CB0CE0">
        <w:rPr>
          <w:rFonts w:ascii="Arial" w:hAnsi="Arial" w:cs="Arial"/>
          <w:color w:val="00B0F0"/>
          <w:sz w:val="24"/>
          <w:szCs w:val="24"/>
          <w:u w:val="single"/>
        </w:rPr>
        <w:t xml:space="preserve"> Uses</w:t>
      </w:r>
      <w:r w:rsidRPr="00CB0CE0">
        <w:rPr>
          <w:rFonts w:ascii="Arial" w:hAnsi="Arial" w:cs="Arial"/>
          <w:color w:val="00B0F0"/>
          <w:sz w:val="24"/>
          <w:szCs w:val="24"/>
        </w:rPr>
        <w:t xml:space="preserve">, delete the following: </w:t>
      </w:r>
    </w:p>
    <w:p w14:paraId="30AAABAC" w14:textId="77777777" w:rsidR="00942FA4" w:rsidRPr="006166AB" w:rsidRDefault="00942FA4" w:rsidP="00942FA4">
      <w:pPr>
        <w:rPr>
          <w:rFonts w:ascii="Arial" w:hAnsi="Arial" w:cs="Arial"/>
          <w:sz w:val="24"/>
          <w:szCs w:val="24"/>
        </w:rPr>
      </w:pPr>
      <w:r w:rsidRPr="006166AB">
        <w:rPr>
          <w:rFonts w:ascii="Arial" w:hAnsi="Arial" w:cs="Arial"/>
          <w:sz w:val="24"/>
          <w:szCs w:val="24"/>
        </w:rPr>
        <w:t>Delete:</w:t>
      </w:r>
    </w:p>
    <w:p w14:paraId="1E88BAAE" w14:textId="77777777" w:rsidR="00942FA4" w:rsidRDefault="00942FA4" w:rsidP="00942FA4">
      <w:pPr>
        <w:rPr>
          <w:rFonts w:ascii="Arial" w:hAnsi="Arial" w:cs="Arial"/>
          <w:sz w:val="24"/>
          <w:szCs w:val="24"/>
        </w:rPr>
      </w:pPr>
      <w:r w:rsidRPr="006166AB">
        <w:rPr>
          <w:rFonts w:ascii="Arial" w:hAnsi="Arial" w:cs="Arial"/>
          <w:sz w:val="24"/>
          <w:szCs w:val="24"/>
        </w:rPr>
        <w:t>Build to Rent residential,</w:t>
      </w:r>
    </w:p>
    <w:p w14:paraId="6629D133" w14:textId="77777777" w:rsidR="00F34763" w:rsidRDefault="009448BF" w:rsidP="00F34763">
      <w:pPr>
        <w:jc w:val="both"/>
        <w:rPr>
          <w:rFonts w:ascii="Arial" w:hAnsi="Arial" w:cs="Arial"/>
          <w:b/>
          <w:sz w:val="28"/>
          <w:szCs w:val="28"/>
        </w:rPr>
      </w:pPr>
      <w:r w:rsidRPr="009448BF">
        <w:rPr>
          <w:rFonts w:ascii="Arial" w:hAnsi="Arial" w:cs="Arial"/>
          <w:b/>
          <w:sz w:val="28"/>
          <w:szCs w:val="28"/>
        </w:rPr>
        <w:lastRenderedPageBreak/>
        <w:t>Chapter 15</w:t>
      </w:r>
      <w:r w:rsidRPr="009448BF">
        <w:rPr>
          <w:rFonts w:ascii="Arial" w:hAnsi="Arial" w:cs="Arial"/>
          <w:b/>
          <w:sz w:val="28"/>
          <w:szCs w:val="28"/>
        </w:rPr>
        <w:tab/>
        <w:t>Development Standards</w:t>
      </w:r>
    </w:p>
    <w:p w14:paraId="7D806F48" w14:textId="77777777" w:rsidR="00220202" w:rsidRDefault="00220202" w:rsidP="00967815">
      <w:pPr>
        <w:spacing w:after="0" w:line="240" w:lineRule="auto"/>
        <w:jc w:val="both"/>
        <w:rPr>
          <w:rFonts w:ascii="Arial" w:hAnsi="Arial" w:cs="Arial"/>
          <w:b/>
          <w:sz w:val="24"/>
          <w:szCs w:val="24"/>
        </w:rPr>
      </w:pPr>
    </w:p>
    <w:p w14:paraId="13F6659A" w14:textId="422EB388" w:rsidR="00220202" w:rsidRPr="00C31EB7" w:rsidRDefault="00BC2C99" w:rsidP="00220202">
      <w:pPr>
        <w:pStyle w:val="Default"/>
        <w:rPr>
          <w:rFonts w:ascii="Arial" w:hAnsi="Arial" w:cs="Arial"/>
          <w:color w:val="00B0F0"/>
        </w:rPr>
      </w:pPr>
      <w:r>
        <w:rPr>
          <w:rFonts w:ascii="Arial" w:hAnsi="Arial" w:cs="Arial"/>
          <w:color w:val="00B0F0"/>
        </w:rPr>
        <w:t xml:space="preserve">Under Section 15.8 Residential Development, </w:t>
      </w:r>
      <w:r w:rsidR="00D02B5F">
        <w:rPr>
          <w:rFonts w:ascii="Arial" w:hAnsi="Arial" w:cs="Arial"/>
          <w:color w:val="00B0F0"/>
        </w:rPr>
        <w:t xml:space="preserve">in the first paragraph, </w:t>
      </w:r>
      <w:r>
        <w:rPr>
          <w:rFonts w:ascii="Arial" w:hAnsi="Arial" w:cs="Arial"/>
          <w:color w:val="00B0F0"/>
        </w:rPr>
        <w:t>d</w:t>
      </w:r>
      <w:r w:rsidR="00183527">
        <w:rPr>
          <w:rFonts w:ascii="Arial" w:hAnsi="Arial" w:cs="Arial"/>
          <w:color w:val="00B0F0"/>
        </w:rPr>
        <w:t xml:space="preserve">elete </w:t>
      </w:r>
      <w:r w:rsidR="003808CE">
        <w:rPr>
          <w:rFonts w:ascii="Arial" w:hAnsi="Arial" w:cs="Arial"/>
          <w:color w:val="00B0F0"/>
        </w:rPr>
        <w:t xml:space="preserve">the </w:t>
      </w:r>
      <w:r w:rsidR="00183527">
        <w:rPr>
          <w:rFonts w:ascii="Arial" w:hAnsi="Arial" w:cs="Arial"/>
          <w:color w:val="00B0F0"/>
        </w:rPr>
        <w:t>reference to ‘Build to Rent’</w:t>
      </w:r>
      <w:r w:rsidR="00220202">
        <w:rPr>
          <w:rFonts w:ascii="Arial" w:hAnsi="Arial" w:cs="Arial"/>
          <w:color w:val="00B0F0"/>
        </w:rPr>
        <w:t xml:space="preserve"> in </w:t>
      </w:r>
      <w:r w:rsidR="00D02B5F">
        <w:rPr>
          <w:rFonts w:ascii="Arial" w:hAnsi="Arial" w:cs="Arial"/>
          <w:color w:val="00B0F0"/>
        </w:rPr>
        <w:t xml:space="preserve">the </w:t>
      </w:r>
      <w:r w:rsidR="00220202">
        <w:rPr>
          <w:rFonts w:ascii="Arial" w:hAnsi="Arial" w:cs="Arial"/>
          <w:color w:val="00B0F0"/>
        </w:rPr>
        <w:t xml:space="preserve">second </w:t>
      </w:r>
      <w:r w:rsidR="00D02B5F">
        <w:rPr>
          <w:rFonts w:ascii="Arial" w:hAnsi="Arial" w:cs="Arial"/>
          <w:color w:val="00B0F0"/>
        </w:rPr>
        <w:t>sentence</w:t>
      </w:r>
      <w:r w:rsidR="00220202">
        <w:rPr>
          <w:rFonts w:ascii="Arial" w:hAnsi="Arial" w:cs="Arial"/>
          <w:color w:val="00B0F0"/>
        </w:rPr>
        <w:t>:</w:t>
      </w:r>
      <w:r w:rsidR="00220202" w:rsidRPr="00C31EB7">
        <w:rPr>
          <w:rFonts w:ascii="Arial" w:hAnsi="Arial" w:cs="Arial"/>
          <w:color w:val="00B0F0"/>
        </w:rPr>
        <w:t xml:space="preserve"> </w:t>
      </w:r>
    </w:p>
    <w:p w14:paraId="6EA48768" w14:textId="77777777" w:rsidR="00220202" w:rsidRPr="00C31EB7" w:rsidRDefault="00220202" w:rsidP="00220202">
      <w:pPr>
        <w:rPr>
          <w:rFonts w:ascii="Arial" w:hAnsi="Arial" w:cs="Arial"/>
          <w:sz w:val="24"/>
          <w:szCs w:val="24"/>
        </w:rPr>
      </w:pPr>
    </w:p>
    <w:p w14:paraId="38EB960B" w14:textId="5F899CC3" w:rsidR="00220202" w:rsidRDefault="00220202" w:rsidP="00220202">
      <w:pPr>
        <w:rPr>
          <w:rFonts w:ascii="Arial" w:hAnsi="Arial" w:cs="Arial"/>
          <w:sz w:val="24"/>
          <w:szCs w:val="24"/>
        </w:rPr>
      </w:pPr>
      <w:r>
        <w:rPr>
          <w:rFonts w:ascii="Arial" w:hAnsi="Arial" w:cs="Arial"/>
          <w:sz w:val="24"/>
          <w:szCs w:val="24"/>
        </w:rPr>
        <w:t>Delete:</w:t>
      </w:r>
    </w:p>
    <w:p w14:paraId="31AD6FC4" w14:textId="0FB4A268" w:rsidR="00220202" w:rsidRPr="00967815" w:rsidRDefault="00220202" w:rsidP="00220202">
      <w:pPr>
        <w:rPr>
          <w:rFonts w:ascii="Arial" w:hAnsi="Arial" w:cs="Arial"/>
          <w:sz w:val="24"/>
          <w:szCs w:val="24"/>
        </w:rPr>
      </w:pPr>
      <w:r w:rsidRPr="00967815">
        <w:rPr>
          <w:rFonts w:ascii="Arial" w:hAnsi="Arial" w:cs="Arial"/>
          <w:sz w:val="24"/>
          <w:szCs w:val="24"/>
        </w:rPr>
        <w:t xml:space="preserve">This section sets out the general requirements for residential development followed by more specific guidance for apartments, </w:t>
      </w:r>
      <w:r w:rsidRPr="00220202">
        <w:rPr>
          <w:rFonts w:ascii="Arial" w:hAnsi="Arial" w:cs="Arial"/>
          <w:sz w:val="24"/>
          <w:szCs w:val="24"/>
        </w:rPr>
        <w:t>Build to Rent,</w:t>
      </w:r>
      <w:r w:rsidRPr="00967815">
        <w:rPr>
          <w:rFonts w:ascii="Arial" w:hAnsi="Arial" w:cs="Arial"/>
          <w:sz w:val="24"/>
          <w:szCs w:val="24"/>
        </w:rPr>
        <w:t xml:space="preserve"> student accommodation and houses. </w:t>
      </w:r>
    </w:p>
    <w:p w14:paraId="208E7A92" w14:textId="77777777" w:rsidR="00220202" w:rsidRDefault="00220202" w:rsidP="00220202">
      <w:pPr>
        <w:rPr>
          <w:rFonts w:ascii="Arial" w:hAnsi="Arial" w:cs="Arial"/>
          <w:sz w:val="24"/>
          <w:szCs w:val="24"/>
        </w:rPr>
      </w:pPr>
      <w:r>
        <w:rPr>
          <w:rFonts w:ascii="Arial" w:hAnsi="Arial" w:cs="Arial"/>
          <w:sz w:val="24"/>
          <w:szCs w:val="24"/>
        </w:rPr>
        <w:t xml:space="preserve">Insert </w:t>
      </w:r>
    </w:p>
    <w:p w14:paraId="16572915" w14:textId="1FC73864" w:rsidR="00220202" w:rsidRPr="00967815" w:rsidRDefault="00220202" w:rsidP="00220202">
      <w:pPr>
        <w:rPr>
          <w:rFonts w:ascii="Arial" w:hAnsi="Arial" w:cs="Arial"/>
          <w:sz w:val="24"/>
          <w:szCs w:val="24"/>
        </w:rPr>
      </w:pPr>
      <w:r w:rsidRPr="00967815">
        <w:rPr>
          <w:rFonts w:ascii="Arial" w:hAnsi="Arial" w:cs="Arial"/>
          <w:sz w:val="24"/>
          <w:szCs w:val="24"/>
        </w:rPr>
        <w:t xml:space="preserve">This section sets out the general requirements for residential development followed by more specific guidance for apartments, student accommodation and houses. </w:t>
      </w:r>
    </w:p>
    <w:p w14:paraId="28E6B457" w14:textId="77777777" w:rsidR="00220202" w:rsidRDefault="00220202" w:rsidP="00967815">
      <w:pPr>
        <w:spacing w:after="0" w:line="240" w:lineRule="auto"/>
        <w:jc w:val="both"/>
        <w:rPr>
          <w:rFonts w:ascii="Arial" w:hAnsi="Arial" w:cs="Arial"/>
          <w:b/>
          <w:sz w:val="24"/>
          <w:szCs w:val="24"/>
        </w:rPr>
      </w:pPr>
    </w:p>
    <w:p w14:paraId="706475B1" w14:textId="63C35D2E" w:rsidR="00220202" w:rsidRPr="00C31EB7" w:rsidRDefault="00123784" w:rsidP="00220202">
      <w:pPr>
        <w:pStyle w:val="Default"/>
        <w:rPr>
          <w:rFonts w:ascii="Arial" w:hAnsi="Arial" w:cs="Arial"/>
          <w:color w:val="00B0F0"/>
        </w:rPr>
      </w:pPr>
      <w:r>
        <w:rPr>
          <w:rFonts w:ascii="Arial" w:hAnsi="Arial" w:cs="Arial"/>
          <w:color w:val="00B0F0"/>
        </w:rPr>
        <w:t>Under Section 15.9.1 Unit Mix, in the last paragraph delete the</w:t>
      </w:r>
      <w:r w:rsidR="00220202">
        <w:rPr>
          <w:rFonts w:ascii="Arial" w:hAnsi="Arial" w:cs="Arial"/>
          <w:color w:val="00B0F0"/>
        </w:rPr>
        <w:t xml:space="preserve"> last se</w:t>
      </w:r>
      <w:r>
        <w:rPr>
          <w:rFonts w:ascii="Arial" w:hAnsi="Arial" w:cs="Arial"/>
          <w:color w:val="00B0F0"/>
        </w:rPr>
        <w:t>ntence.</w:t>
      </w:r>
    </w:p>
    <w:p w14:paraId="59040375" w14:textId="77777777" w:rsidR="00220202" w:rsidRPr="00C31EB7" w:rsidRDefault="00220202" w:rsidP="00220202">
      <w:pPr>
        <w:rPr>
          <w:rFonts w:ascii="Arial" w:hAnsi="Arial" w:cs="Arial"/>
          <w:sz w:val="24"/>
          <w:szCs w:val="24"/>
        </w:rPr>
      </w:pPr>
    </w:p>
    <w:p w14:paraId="0A057899" w14:textId="5C3DB386" w:rsidR="00220202" w:rsidRDefault="00220202" w:rsidP="00220202">
      <w:pPr>
        <w:rPr>
          <w:rFonts w:ascii="Arial" w:hAnsi="Arial" w:cs="Arial"/>
          <w:sz w:val="24"/>
          <w:szCs w:val="24"/>
        </w:rPr>
      </w:pPr>
      <w:r>
        <w:rPr>
          <w:rFonts w:ascii="Arial" w:hAnsi="Arial" w:cs="Arial"/>
          <w:sz w:val="24"/>
          <w:szCs w:val="24"/>
        </w:rPr>
        <w:t>Delete:</w:t>
      </w:r>
    </w:p>
    <w:p w14:paraId="60B5F8F8" w14:textId="58DA86F3" w:rsidR="00220202" w:rsidRPr="00220202" w:rsidRDefault="00220202" w:rsidP="00220202">
      <w:pPr>
        <w:rPr>
          <w:rFonts w:ascii="Arial" w:eastAsia="Arial" w:hAnsi="Arial" w:cs="Arial"/>
          <w:sz w:val="24"/>
          <w:szCs w:val="24"/>
        </w:rPr>
      </w:pPr>
      <w:r w:rsidRPr="00220202">
        <w:rPr>
          <w:rFonts w:ascii="Arial" w:eastAsia="Arial" w:hAnsi="Arial" w:cs="Arial"/>
          <w:sz w:val="24"/>
          <w:szCs w:val="24"/>
        </w:rPr>
        <w:t>For clarity, in accordance with SPPR 8, the unit mix requirement for the North Inner City and Liberties Sub-City Areas does not apply to units that are designed to a BTR standard.</w:t>
      </w:r>
    </w:p>
    <w:p w14:paraId="4B36FDE5" w14:textId="1042B13E" w:rsidR="00370216" w:rsidRDefault="00370216" w:rsidP="00967815">
      <w:pPr>
        <w:spacing w:after="0" w:line="240" w:lineRule="auto"/>
        <w:rPr>
          <w:rFonts w:ascii="Arial" w:hAnsi="Arial" w:cs="Arial"/>
          <w:b/>
          <w:sz w:val="24"/>
          <w:szCs w:val="24"/>
        </w:rPr>
      </w:pPr>
    </w:p>
    <w:p w14:paraId="47E1987D" w14:textId="502E29A4" w:rsidR="0041475F" w:rsidRPr="00C31EB7" w:rsidRDefault="002C525F" w:rsidP="0041475F">
      <w:pPr>
        <w:pStyle w:val="Default"/>
        <w:rPr>
          <w:rFonts w:ascii="Arial" w:hAnsi="Arial" w:cs="Arial"/>
          <w:color w:val="00B0F0"/>
        </w:rPr>
      </w:pPr>
      <w:r>
        <w:rPr>
          <w:rFonts w:ascii="Arial" w:hAnsi="Arial" w:cs="Arial"/>
          <w:color w:val="00B0F0"/>
        </w:rPr>
        <w:t xml:space="preserve">Under Section 15.9.2 Unit Size / Layout, </w:t>
      </w:r>
      <w:r w:rsidR="008019B4">
        <w:rPr>
          <w:rFonts w:ascii="Arial" w:hAnsi="Arial" w:cs="Arial"/>
          <w:color w:val="00B0F0"/>
        </w:rPr>
        <w:t xml:space="preserve">delete reference to BTR </w:t>
      </w:r>
      <w:r w:rsidR="003808CE">
        <w:rPr>
          <w:rFonts w:ascii="Arial" w:hAnsi="Arial" w:cs="Arial"/>
          <w:color w:val="00B0F0"/>
        </w:rPr>
        <w:t xml:space="preserve">accommodation </w:t>
      </w:r>
      <w:r>
        <w:rPr>
          <w:rFonts w:ascii="Arial" w:hAnsi="Arial" w:cs="Arial"/>
          <w:color w:val="00B0F0"/>
        </w:rPr>
        <w:t>in 4</w:t>
      </w:r>
      <w:r w:rsidRPr="002C525F">
        <w:rPr>
          <w:rFonts w:ascii="Arial" w:hAnsi="Arial" w:cs="Arial"/>
          <w:color w:val="00B0F0"/>
          <w:vertAlign w:val="superscript"/>
        </w:rPr>
        <w:t>th</w:t>
      </w:r>
      <w:r w:rsidR="00183527">
        <w:rPr>
          <w:rFonts w:ascii="Arial" w:hAnsi="Arial" w:cs="Arial"/>
          <w:color w:val="00B0F0"/>
        </w:rPr>
        <w:t xml:space="preserve"> paragraph</w:t>
      </w:r>
      <w:r>
        <w:rPr>
          <w:rFonts w:ascii="Arial" w:hAnsi="Arial" w:cs="Arial"/>
          <w:color w:val="00B0F0"/>
        </w:rPr>
        <w:t xml:space="preserve"> </w:t>
      </w:r>
    </w:p>
    <w:p w14:paraId="16DC91DF" w14:textId="77777777" w:rsidR="0041475F" w:rsidRDefault="0041475F" w:rsidP="0041475F">
      <w:pPr>
        <w:rPr>
          <w:rFonts w:ascii="Arial" w:hAnsi="Arial" w:cs="Arial"/>
          <w:sz w:val="24"/>
          <w:szCs w:val="24"/>
        </w:rPr>
      </w:pPr>
    </w:p>
    <w:p w14:paraId="0A734885" w14:textId="76F7AE09" w:rsidR="0041475F" w:rsidRDefault="0041475F" w:rsidP="0041475F">
      <w:pPr>
        <w:rPr>
          <w:rFonts w:ascii="Arial" w:hAnsi="Arial" w:cs="Arial"/>
          <w:sz w:val="24"/>
          <w:szCs w:val="24"/>
        </w:rPr>
      </w:pPr>
      <w:r>
        <w:rPr>
          <w:rFonts w:ascii="Arial" w:hAnsi="Arial" w:cs="Arial"/>
          <w:sz w:val="24"/>
          <w:szCs w:val="24"/>
        </w:rPr>
        <w:t>Delete:</w:t>
      </w:r>
    </w:p>
    <w:p w14:paraId="6D417BE0" w14:textId="77777777" w:rsidR="0041475F" w:rsidRDefault="0041475F" w:rsidP="0041475F">
      <w:pPr>
        <w:rPr>
          <w:rFonts w:ascii="Arial" w:hAnsi="Arial" w:cs="Arial"/>
          <w:sz w:val="24"/>
          <w:szCs w:val="24"/>
        </w:rPr>
      </w:pPr>
      <w:r w:rsidRPr="000B70F0">
        <w:rPr>
          <w:rFonts w:ascii="Arial" w:hAnsi="Arial" w:cs="Arial"/>
          <w:sz w:val="24"/>
          <w:szCs w:val="24"/>
        </w:rPr>
        <w:t xml:space="preserve">The majority of all apartments in any proposed scheme of 10 or more apartments </w:t>
      </w:r>
      <w:r w:rsidRPr="0041475F">
        <w:rPr>
          <w:rFonts w:ascii="Arial" w:hAnsi="Arial" w:cs="Arial"/>
          <w:sz w:val="24"/>
          <w:szCs w:val="24"/>
        </w:rPr>
        <w:t>(excluding Build to Rent accommodation)</w:t>
      </w:r>
      <w:r w:rsidRPr="000B70F0">
        <w:rPr>
          <w:rFonts w:ascii="Arial" w:hAnsi="Arial" w:cs="Arial"/>
          <w:sz w:val="24"/>
          <w:szCs w:val="24"/>
        </w:rPr>
        <w:t xml:space="preserve"> shall exceed the minimum floor area standard for any combination of the relevant 1, 2 or 3 bedroom unit types, by a minimum of 10% (any studio apartments must be included in the total, but are not included as units that exceed the minimum by at least 10%). </w:t>
      </w:r>
    </w:p>
    <w:p w14:paraId="59464382" w14:textId="24A798B9" w:rsidR="0041475F" w:rsidRDefault="0041475F" w:rsidP="0041475F">
      <w:pPr>
        <w:rPr>
          <w:rFonts w:ascii="Arial" w:hAnsi="Arial" w:cs="Arial"/>
          <w:sz w:val="24"/>
          <w:szCs w:val="24"/>
        </w:rPr>
      </w:pPr>
      <w:r>
        <w:rPr>
          <w:rFonts w:ascii="Arial" w:hAnsi="Arial" w:cs="Arial"/>
          <w:sz w:val="24"/>
          <w:szCs w:val="24"/>
        </w:rPr>
        <w:t>Insert:</w:t>
      </w:r>
    </w:p>
    <w:p w14:paraId="043A20E3" w14:textId="4C9AB671" w:rsidR="0041475F" w:rsidRDefault="0041475F" w:rsidP="0041475F">
      <w:pPr>
        <w:rPr>
          <w:rFonts w:ascii="Arial" w:hAnsi="Arial" w:cs="Arial"/>
          <w:sz w:val="24"/>
          <w:szCs w:val="24"/>
        </w:rPr>
      </w:pPr>
      <w:r w:rsidRPr="000B70F0">
        <w:rPr>
          <w:rFonts w:ascii="Arial" w:hAnsi="Arial" w:cs="Arial"/>
          <w:sz w:val="24"/>
          <w:szCs w:val="24"/>
        </w:rPr>
        <w:t xml:space="preserve">The majority of all apartments in any proposed scheme of 10 or more apartments shall exceed the minimum floor area standard for any combination of the relevant 1, 2 or 3 bedroom unit types, by a minimum of 10% (any studio apartments must be included in the total, but are not included as units that exceed the minimum by at least 10%). </w:t>
      </w:r>
    </w:p>
    <w:p w14:paraId="19155AFF" w14:textId="77777777" w:rsidR="00457085" w:rsidRDefault="00457085" w:rsidP="0041475F">
      <w:pPr>
        <w:pStyle w:val="Default"/>
        <w:rPr>
          <w:rFonts w:ascii="Arial" w:hAnsi="Arial" w:cs="Arial"/>
          <w:color w:val="00B0F0"/>
        </w:rPr>
      </w:pPr>
    </w:p>
    <w:p w14:paraId="1E117E00" w14:textId="70B634D2" w:rsidR="0041475F" w:rsidRPr="00C31EB7" w:rsidRDefault="0041475F" w:rsidP="0041475F">
      <w:pPr>
        <w:pStyle w:val="Default"/>
        <w:rPr>
          <w:rFonts w:ascii="Arial" w:hAnsi="Arial" w:cs="Arial"/>
          <w:color w:val="00B0F0"/>
        </w:rPr>
      </w:pPr>
      <w:r>
        <w:rPr>
          <w:rFonts w:ascii="Arial" w:hAnsi="Arial" w:cs="Arial"/>
          <w:color w:val="00B0F0"/>
        </w:rPr>
        <w:lastRenderedPageBreak/>
        <w:t xml:space="preserve">Delete all of Section 15.10 Build to Rent Residential Developments (BTR) including sub sections 15.10.1 and 15.10.2 as follows:   </w:t>
      </w:r>
    </w:p>
    <w:p w14:paraId="201B8923" w14:textId="77777777" w:rsidR="0041475F" w:rsidRDefault="0041475F" w:rsidP="0041475F">
      <w:pPr>
        <w:rPr>
          <w:rFonts w:ascii="Arial" w:hAnsi="Arial" w:cs="Arial"/>
          <w:sz w:val="24"/>
          <w:szCs w:val="24"/>
        </w:rPr>
      </w:pPr>
    </w:p>
    <w:p w14:paraId="5B68D3F6" w14:textId="77777777" w:rsidR="0041475F" w:rsidRDefault="0041475F" w:rsidP="0041475F">
      <w:pPr>
        <w:rPr>
          <w:rFonts w:ascii="Arial" w:hAnsi="Arial" w:cs="Arial"/>
          <w:sz w:val="24"/>
          <w:szCs w:val="24"/>
        </w:rPr>
      </w:pPr>
      <w:r>
        <w:rPr>
          <w:rFonts w:ascii="Arial" w:hAnsi="Arial" w:cs="Arial"/>
          <w:sz w:val="24"/>
          <w:szCs w:val="24"/>
        </w:rPr>
        <w:t>Delete:</w:t>
      </w:r>
    </w:p>
    <w:p w14:paraId="255297FA" w14:textId="77777777" w:rsidR="00B133C8" w:rsidRPr="0041475F" w:rsidRDefault="00B133C8" w:rsidP="00B133C8">
      <w:pPr>
        <w:pStyle w:val="Heading2"/>
        <w:rPr>
          <w:rFonts w:ascii="Arial" w:hAnsi="Arial" w:cs="Arial"/>
          <w:sz w:val="24"/>
          <w:szCs w:val="24"/>
        </w:rPr>
      </w:pPr>
      <w:bookmarkStart w:id="1" w:name="_Toc83040144"/>
      <w:bookmarkStart w:id="2" w:name="_Toc121145137"/>
      <w:r w:rsidRPr="0041475F">
        <w:rPr>
          <w:rFonts w:ascii="Arial" w:hAnsi="Arial" w:cs="Arial"/>
          <w:color w:val="auto"/>
          <w:sz w:val="24"/>
          <w:szCs w:val="24"/>
        </w:rPr>
        <w:t>15.10</w:t>
      </w:r>
      <w:r w:rsidRPr="0041475F">
        <w:rPr>
          <w:rFonts w:ascii="Arial" w:hAnsi="Arial" w:cs="Arial"/>
          <w:color w:val="auto"/>
          <w:sz w:val="24"/>
          <w:szCs w:val="24"/>
        </w:rPr>
        <w:tab/>
      </w:r>
      <w:r w:rsidRPr="0041475F">
        <w:rPr>
          <w:rFonts w:ascii="Arial" w:hAnsi="Arial" w:cs="Arial"/>
          <w:sz w:val="24"/>
          <w:szCs w:val="24"/>
        </w:rPr>
        <w:t>Build to Rent Residential Developments (BTR)</w:t>
      </w:r>
      <w:bookmarkEnd w:id="1"/>
      <w:bookmarkEnd w:id="2"/>
    </w:p>
    <w:p w14:paraId="6C9D212B" w14:textId="77777777" w:rsidR="00B133C8" w:rsidRPr="0041475F" w:rsidRDefault="00B133C8" w:rsidP="00B133C8">
      <w:pPr>
        <w:spacing w:after="0"/>
        <w:rPr>
          <w:rFonts w:ascii="Arial" w:hAnsi="Arial" w:cs="Arial"/>
          <w:sz w:val="24"/>
          <w:szCs w:val="24"/>
        </w:rPr>
      </w:pPr>
      <w:r w:rsidRPr="0041475F">
        <w:rPr>
          <w:rFonts w:ascii="Arial" w:hAnsi="Arial" w:cs="Arial"/>
          <w:sz w:val="24"/>
          <w:szCs w:val="24"/>
        </w:rPr>
        <w:t xml:space="preserve">“Build to Rent” (BTR) refers to purpose built residential accommodation and associated amenities built specifically for long term rental that is managed and serviced in an institutional manner by an institutional landlord. Recent emerging trends would indicate that the dominance of BTR in large schemes can be to the detriment of </w:t>
      </w:r>
      <w:r w:rsidRPr="0041475F">
        <w:rPr>
          <w:rFonts w:ascii="Arial" w:hAnsi="Arial" w:cs="Arial"/>
          <w:bCs/>
          <w:sz w:val="24"/>
          <w:szCs w:val="24"/>
        </w:rPr>
        <w:t xml:space="preserve">standard designed apartment </w:t>
      </w:r>
      <w:r w:rsidRPr="0041475F">
        <w:rPr>
          <w:rFonts w:ascii="Arial" w:hAnsi="Arial" w:cs="Arial"/>
          <w:sz w:val="24"/>
          <w:szCs w:val="24"/>
        </w:rPr>
        <w:t>units. Dublin City Council will consider “Built to Rent” developments in specific locations as follows:</w:t>
      </w:r>
    </w:p>
    <w:p w14:paraId="630E562C" w14:textId="77777777" w:rsidR="00B133C8" w:rsidRPr="0041475F" w:rsidRDefault="00B133C8" w:rsidP="00B133C8">
      <w:pPr>
        <w:spacing w:after="0"/>
        <w:rPr>
          <w:rFonts w:ascii="Arial" w:hAnsi="Arial" w:cs="Arial"/>
          <w:sz w:val="24"/>
          <w:szCs w:val="24"/>
        </w:rPr>
      </w:pPr>
    </w:p>
    <w:p w14:paraId="380CB106" w14:textId="77777777" w:rsidR="00B133C8" w:rsidRPr="0041475F" w:rsidRDefault="00B133C8" w:rsidP="00B133C8">
      <w:pPr>
        <w:pStyle w:val="Default"/>
        <w:widowControl/>
        <w:numPr>
          <w:ilvl w:val="0"/>
          <w:numId w:val="5"/>
        </w:numPr>
        <w:spacing w:line="276" w:lineRule="auto"/>
        <w:rPr>
          <w:rFonts w:ascii="Arial" w:eastAsia="Calibri" w:hAnsi="Arial" w:cs="Arial"/>
          <w:bCs/>
          <w:color w:val="auto"/>
        </w:rPr>
      </w:pPr>
      <w:r w:rsidRPr="0041475F">
        <w:rPr>
          <w:rFonts w:ascii="Arial" w:eastAsia="Calibri" w:hAnsi="Arial" w:cs="Arial"/>
          <w:color w:val="auto"/>
        </w:rPr>
        <w:t xml:space="preserve">Within 500 metre walking distance of </w:t>
      </w:r>
      <w:r w:rsidRPr="0041475F">
        <w:rPr>
          <w:rFonts w:ascii="Arial" w:eastAsia="Calibri" w:hAnsi="Arial" w:cs="Arial"/>
          <w:bCs/>
          <w:color w:val="auto"/>
        </w:rPr>
        <w:t>significant employment locations.</w:t>
      </w:r>
    </w:p>
    <w:p w14:paraId="59F00141" w14:textId="77777777" w:rsidR="00B133C8" w:rsidRPr="0041475F" w:rsidRDefault="00B133C8" w:rsidP="00B133C8">
      <w:pPr>
        <w:pStyle w:val="Default"/>
        <w:widowControl/>
        <w:numPr>
          <w:ilvl w:val="0"/>
          <w:numId w:val="5"/>
        </w:numPr>
        <w:spacing w:line="276" w:lineRule="auto"/>
        <w:rPr>
          <w:rFonts w:ascii="Arial" w:eastAsia="Calibri" w:hAnsi="Arial" w:cs="Arial"/>
          <w:bCs/>
          <w:color w:val="auto"/>
        </w:rPr>
      </w:pPr>
      <w:r w:rsidRPr="0041475F">
        <w:rPr>
          <w:rFonts w:ascii="Arial" w:eastAsia="Calibri" w:hAnsi="Arial" w:cs="Arial"/>
          <w:color w:val="auto"/>
        </w:rPr>
        <w:t xml:space="preserve">Within 500m of major public transport interchanges (e.g. Connolly Station, Tara Street Station and </w:t>
      </w:r>
      <w:proofErr w:type="spellStart"/>
      <w:r w:rsidRPr="0041475F">
        <w:rPr>
          <w:rFonts w:ascii="Arial" w:eastAsia="Calibri" w:hAnsi="Arial" w:cs="Arial"/>
          <w:color w:val="auto"/>
        </w:rPr>
        <w:t>Heuston</w:t>
      </w:r>
      <w:proofErr w:type="spellEnd"/>
      <w:r w:rsidRPr="0041475F">
        <w:rPr>
          <w:rFonts w:ascii="Arial" w:eastAsia="Calibri" w:hAnsi="Arial" w:cs="Arial"/>
          <w:color w:val="auto"/>
        </w:rPr>
        <w:t xml:space="preserve"> Station), and within identified Strategic Development Regenerations </w:t>
      </w:r>
      <w:r w:rsidRPr="0041475F">
        <w:rPr>
          <w:rFonts w:ascii="Arial" w:eastAsia="Calibri" w:hAnsi="Arial" w:cs="Arial"/>
          <w:bCs/>
          <w:color w:val="auto"/>
        </w:rPr>
        <w:t>Areas.</w:t>
      </w:r>
    </w:p>
    <w:p w14:paraId="676CFECA" w14:textId="77777777" w:rsidR="00B133C8" w:rsidRPr="0041475F" w:rsidRDefault="00B133C8" w:rsidP="00B133C8">
      <w:pPr>
        <w:pStyle w:val="Default"/>
        <w:spacing w:line="276" w:lineRule="auto"/>
        <w:rPr>
          <w:rFonts w:ascii="Arial" w:eastAsia="Calibri" w:hAnsi="Arial" w:cs="Arial"/>
          <w:bCs/>
          <w:color w:val="auto"/>
        </w:rPr>
      </w:pPr>
    </w:p>
    <w:p w14:paraId="5B7785F7" w14:textId="77777777" w:rsidR="00B133C8" w:rsidRPr="0041475F" w:rsidRDefault="00B133C8" w:rsidP="00B133C8">
      <w:pPr>
        <w:pStyle w:val="Default"/>
        <w:spacing w:line="276" w:lineRule="auto"/>
        <w:rPr>
          <w:rFonts w:ascii="Arial" w:eastAsia="Calibri" w:hAnsi="Arial" w:cs="Arial"/>
          <w:color w:val="auto"/>
        </w:rPr>
      </w:pPr>
      <w:r w:rsidRPr="0041475F">
        <w:rPr>
          <w:rFonts w:ascii="Arial" w:eastAsia="Calibri" w:hAnsi="Arial" w:cs="Arial"/>
          <w:color w:val="auto"/>
        </w:rPr>
        <w:t xml:space="preserve">There will be a general presumption against large scale residential developments (in excess of 100 units) which comprise of 100% BTR typology. To ensure a sustainable mix of tenure and long-term sustainable communities, a minimum of </w:t>
      </w:r>
      <w:r w:rsidRPr="0041475F">
        <w:rPr>
          <w:rFonts w:ascii="Arial" w:eastAsia="Calibri" w:hAnsi="Arial" w:cs="Arial"/>
          <w:bCs/>
          <w:color w:val="auto"/>
        </w:rPr>
        <w:t xml:space="preserve">60% </w:t>
      </w:r>
      <w:r w:rsidRPr="0041475F">
        <w:rPr>
          <w:rFonts w:ascii="Arial" w:eastAsia="Calibri" w:hAnsi="Arial" w:cs="Arial"/>
          <w:color w:val="auto"/>
        </w:rPr>
        <w:t xml:space="preserve">of standard </w:t>
      </w:r>
      <w:r w:rsidRPr="0041475F">
        <w:rPr>
          <w:rFonts w:ascii="Arial" w:eastAsia="Calibri" w:hAnsi="Arial" w:cs="Arial"/>
          <w:bCs/>
          <w:color w:val="auto"/>
        </w:rPr>
        <w:t xml:space="preserve">designed </w:t>
      </w:r>
      <w:r w:rsidRPr="0041475F">
        <w:rPr>
          <w:rFonts w:ascii="Arial" w:eastAsia="Calibri" w:hAnsi="Arial" w:cs="Arial"/>
          <w:color w:val="auto"/>
        </w:rPr>
        <w:t>apartments will be required in such instances.</w:t>
      </w:r>
    </w:p>
    <w:p w14:paraId="135B34DE" w14:textId="77777777" w:rsidR="00B133C8" w:rsidRPr="0041475F" w:rsidRDefault="00B133C8" w:rsidP="00B133C8">
      <w:pPr>
        <w:pStyle w:val="Default"/>
        <w:spacing w:line="276" w:lineRule="auto"/>
        <w:rPr>
          <w:rFonts w:ascii="Arial" w:hAnsi="Arial" w:cs="Arial"/>
          <w:color w:val="auto"/>
        </w:rPr>
      </w:pPr>
    </w:p>
    <w:p w14:paraId="2D07DDD9" w14:textId="77777777" w:rsidR="00B133C8" w:rsidRPr="0041475F" w:rsidRDefault="00B133C8" w:rsidP="00B133C8">
      <w:pPr>
        <w:pStyle w:val="Default"/>
        <w:spacing w:line="276" w:lineRule="auto"/>
        <w:rPr>
          <w:rFonts w:ascii="Arial" w:eastAsia="Arial" w:hAnsi="Arial" w:cs="Arial"/>
          <w:bCs/>
          <w:color w:val="auto"/>
        </w:rPr>
      </w:pPr>
      <w:r w:rsidRPr="0041475F">
        <w:rPr>
          <w:rFonts w:ascii="Arial" w:eastAsia="Arial" w:hAnsi="Arial" w:cs="Arial"/>
          <w:bCs/>
          <w:color w:val="auto"/>
        </w:rPr>
        <w:t>Please refer to section 5.5.7 of this city development plan – Policy QHSN40.</w:t>
      </w:r>
    </w:p>
    <w:p w14:paraId="21D6A653" w14:textId="77777777" w:rsidR="00B133C8" w:rsidRPr="0041475F" w:rsidRDefault="00B133C8" w:rsidP="00B133C8">
      <w:pPr>
        <w:pStyle w:val="Default"/>
        <w:spacing w:line="276" w:lineRule="auto"/>
        <w:rPr>
          <w:rFonts w:ascii="Arial" w:hAnsi="Arial" w:cs="Arial"/>
          <w:color w:val="auto"/>
        </w:rPr>
      </w:pPr>
    </w:p>
    <w:p w14:paraId="42B7857C" w14:textId="77777777" w:rsidR="00B133C8" w:rsidRPr="0041475F" w:rsidRDefault="00B133C8" w:rsidP="00B133C8">
      <w:pPr>
        <w:spacing w:after="0"/>
        <w:rPr>
          <w:rFonts w:ascii="Arial" w:hAnsi="Arial" w:cs="Arial"/>
          <w:sz w:val="24"/>
          <w:szCs w:val="24"/>
        </w:rPr>
      </w:pPr>
      <w:r w:rsidRPr="0041475F">
        <w:rPr>
          <w:rFonts w:ascii="Arial" w:hAnsi="Arial" w:cs="Arial"/>
          <w:sz w:val="24"/>
          <w:szCs w:val="24"/>
        </w:rPr>
        <w:t xml:space="preserve">Furthermore, whilst BTR is considered to be an integral part in achieving an appropriate mix of housing in the right locations, there will be a presumption against the proliferation and over concentration of Build to </w:t>
      </w:r>
      <w:proofErr w:type="gramStart"/>
      <w:r w:rsidRPr="0041475F">
        <w:rPr>
          <w:rFonts w:ascii="Arial" w:hAnsi="Arial" w:cs="Arial"/>
          <w:sz w:val="24"/>
          <w:szCs w:val="24"/>
        </w:rPr>
        <w:t>Rent</w:t>
      </w:r>
      <w:proofErr w:type="gramEnd"/>
      <w:r w:rsidRPr="0041475F">
        <w:rPr>
          <w:rFonts w:ascii="Arial" w:hAnsi="Arial" w:cs="Arial"/>
          <w:sz w:val="24"/>
          <w:szCs w:val="24"/>
        </w:rPr>
        <w:t xml:space="preserve"> development in any one area (refer to Section 5.5.7 of Chapter 5 Quality Housing and Sustainable Neighbourhoods). Applications for “Build to Rent” developments should be accompanied by an assessment of other permitted </w:t>
      </w:r>
      <w:r w:rsidRPr="0041475F">
        <w:rPr>
          <w:rFonts w:ascii="Arial" w:hAnsi="Arial" w:cs="Arial"/>
          <w:bCs/>
          <w:sz w:val="24"/>
          <w:szCs w:val="24"/>
        </w:rPr>
        <w:t xml:space="preserve">and proposed </w:t>
      </w:r>
      <w:r w:rsidRPr="0041475F">
        <w:rPr>
          <w:rFonts w:ascii="Arial" w:hAnsi="Arial" w:cs="Arial"/>
          <w:sz w:val="24"/>
          <w:szCs w:val="24"/>
        </w:rPr>
        <w:t xml:space="preserve">BTR developments </w:t>
      </w:r>
      <w:r w:rsidRPr="0041475F">
        <w:rPr>
          <w:rFonts w:ascii="Arial" w:hAnsi="Arial" w:cs="Arial"/>
          <w:bCs/>
          <w:sz w:val="24"/>
          <w:szCs w:val="24"/>
        </w:rPr>
        <w:t xml:space="preserve">within a 1km radius </w:t>
      </w:r>
      <w:r w:rsidRPr="0041475F">
        <w:rPr>
          <w:rFonts w:ascii="Arial" w:hAnsi="Arial" w:cs="Arial"/>
          <w:sz w:val="24"/>
          <w:szCs w:val="24"/>
        </w:rPr>
        <w:t xml:space="preserve">of the site to demonstrate: </w:t>
      </w:r>
    </w:p>
    <w:p w14:paraId="1588BCE4" w14:textId="77777777" w:rsidR="00B133C8" w:rsidRPr="0041475F" w:rsidRDefault="00B133C8" w:rsidP="00B133C8">
      <w:pPr>
        <w:spacing w:after="0"/>
        <w:rPr>
          <w:rFonts w:ascii="Arial" w:hAnsi="Arial" w:cs="Arial"/>
          <w:sz w:val="24"/>
          <w:szCs w:val="24"/>
        </w:rPr>
      </w:pPr>
    </w:p>
    <w:p w14:paraId="39C33E4F" w14:textId="77777777" w:rsidR="00B133C8" w:rsidRPr="0041475F" w:rsidRDefault="00B133C8" w:rsidP="00B133C8">
      <w:pPr>
        <w:pStyle w:val="ListParagraph"/>
        <w:numPr>
          <w:ilvl w:val="0"/>
          <w:numId w:val="6"/>
        </w:numPr>
        <w:spacing w:after="0"/>
        <w:contextualSpacing/>
        <w:rPr>
          <w:rFonts w:ascii="Arial" w:hAnsi="Arial" w:cs="Arial"/>
          <w:sz w:val="24"/>
          <w:szCs w:val="24"/>
        </w:rPr>
      </w:pPr>
      <w:proofErr w:type="gramStart"/>
      <w:r w:rsidRPr="0041475F">
        <w:rPr>
          <w:rFonts w:ascii="Arial" w:hAnsi="Arial" w:cs="Arial"/>
          <w:sz w:val="24"/>
          <w:szCs w:val="24"/>
        </w:rPr>
        <w:t>that</w:t>
      </w:r>
      <w:proofErr w:type="gramEnd"/>
      <w:r w:rsidRPr="0041475F">
        <w:rPr>
          <w:rFonts w:ascii="Arial" w:hAnsi="Arial" w:cs="Arial"/>
          <w:sz w:val="24"/>
          <w:szCs w:val="24"/>
        </w:rPr>
        <w:t xml:space="preserve"> the development would not result in the over concentration of one housing tenure in a particular area. </w:t>
      </w:r>
    </w:p>
    <w:p w14:paraId="123A417B" w14:textId="3C2C046E" w:rsidR="00B133C8" w:rsidRPr="0041475F" w:rsidRDefault="00B133C8" w:rsidP="00B133C8">
      <w:pPr>
        <w:pStyle w:val="ListParagraph"/>
        <w:numPr>
          <w:ilvl w:val="0"/>
          <w:numId w:val="6"/>
        </w:numPr>
        <w:spacing w:after="0"/>
        <w:contextualSpacing/>
        <w:rPr>
          <w:rFonts w:ascii="Arial" w:eastAsia="Arial" w:hAnsi="Arial" w:cs="Arial"/>
          <w:bCs/>
          <w:sz w:val="24"/>
          <w:szCs w:val="24"/>
        </w:rPr>
      </w:pPr>
      <w:proofErr w:type="gramStart"/>
      <w:r w:rsidRPr="0041475F">
        <w:rPr>
          <w:rFonts w:ascii="Arial" w:hAnsi="Arial" w:cs="Arial"/>
          <w:bCs/>
          <w:sz w:val="24"/>
          <w:szCs w:val="24"/>
        </w:rPr>
        <w:t>how</w:t>
      </w:r>
      <w:proofErr w:type="gramEnd"/>
      <w:r w:rsidRPr="0041475F">
        <w:rPr>
          <w:rFonts w:ascii="Arial" w:hAnsi="Arial" w:cs="Arial"/>
          <w:bCs/>
          <w:sz w:val="24"/>
          <w:szCs w:val="24"/>
        </w:rPr>
        <w:t xml:space="preserve"> the development supports housing need, particularly with regard to tenure, unit size and accessibility with particular reference to the Dublin City Council Housing Need and Demand Assessment.</w:t>
      </w:r>
    </w:p>
    <w:p w14:paraId="7FB2C287" w14:textId="77777777" w:rsidR="00F62016" w:rsidRPr="0041475F" w:rsidRDefault="00F62016" w:rsidP="00F62016">
      <w:pPr>
        <w:pStyle w:val="ListParagraph"/>
        <w:spacing w:after="0"/>
        <w:contextualSpacing/>
        <w:rPr>
          <w:rFonts w:ascii="Arial" w:eastAsia="Arial" w:hAnsi="Arial" w:cs="Arial"/>
          <w:bCs/>
          <w:sz w:val="24"/>
          <w:szCs w:val="24"/>
        </w:rPr>
      </w:pPr>
    </w:p>
    <w:p w14:paraId="5FEECAEC" w14:textId="77777777" w:rsidR="00B133C8" w:rsidRPr="0041475F" w:rsidRDefault="00B133C8" w:rsidP="00B133C8">
      <w:pPr>
        <w:pStyle w:val="Heading3"/>
        <w:rPr>
          <w:rFonts w:ascii="Arial" w:hAnsi="Arial" w:cs="Arial"/>
        </w:rPr>
      </w:pPr>
      <w:r w:rsidRPr="0041475F">
        <w:rPr>
          <w:rFonts w:ascii="Arial" w:hAnsi="Arial" w:cs="Arial"/>
        </w:rPr>
        <w:t>15.10.1</w:t>
      </w:r>
      <w:r w:rsidRPr="0041475F">
        <w:rPr>
          <w:rFonts w:ascii="Arial" w:hAnsi="Arial" w:cs="Arial"/>
        </w:rPr>
        <w:tab/>
        <w:t xml:space="preserve">Design Standards </w:t>
      </w:r>
    </w:p>
    <w:p w14:paraId="66EBA543"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The Sustainable Urban Development Design Standards for New Apartments set out specific planning policy requirements for “Build to Rent” developments. SPPR7 refers to the provision of resident support facilities (laundry, concierge, management </w:t>
      </w:r>
      <w:r w:rsidRPr="0041475F">
        <w:rPr>
          <w:rFonts w:ascii="Arial" w:hAnsi="Arial" w:cs="Arial"/>
          <w:sz w:val="24"/>
          <w:szCs w:val="24"/>
        </w:rPr>
        <w:lastRenderedPageBreak/>
        <w:t>facilities etc.) and resident services and amenities (sports facilities, resident lounge, function rooms, co-working spaces etc.).</w:t>
      </w:r>
    </w:p>
    <w:p w14:paraId="792FD9E5"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Whist the guidelines do not provide for a quantitative standard residential support facilities and resident services and amenities, a general guideline of 3 sq. m. per person is recommended. This will be assessed on a case by case basis where the applicant can demonstrate a high standard of services and facilities. </w:t>
      </w:r>
    </w:p>
    <w:p w14:paraId="3BC72F3C"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SPPR8 refers to specific relaxations that can be applied to BTR scheme which differentiate BTR schemes from standard residential developments. </w:t>
      </w:r>
    </w:p>
    <w:p w14:paraId="636BF32D"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SPPR8 (ii) states that flexibility can be applied to the provision of storage space, private amenity space and communal space within a scheme at the discretion of the planning authority. </w:t>
      </w:r>
    </w:p>
    <w:p w14:paraId="3F5CF225"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There is a general presumption against excessive derogation of these requirements, in particular, private amenity space. Where derogations of private amenity space are sought, there will be an onus on the applicant to demonstrate that the quality of the unit is of a higher standard, e.g. in excess of the minimum floor area, contains unique design features and that the loss/reduction of private amenity is compensated within the communal amenity provision, e.g. if a unit requires 5 sq. m. of private amenity space, this quantum should be offset to provide for an additional 5 sq. m. communal amenity space. </w:t>
      </w:r>
    </w:p>
    <w:p w14:paraId="6BC24563" w14:textId="77777777" w:rsidR="00B133C8" w:rsidRPr="0041475F" w:rsidRDefault="00B133C8" w:rsidP="00B133C8">
      <w:pPr>
        <w:rPr>
          <w:rFonts w:ascii="Arial" w:hAnsi="Arial" w:cs="Arial"/>
          <w:sz w:val="24"/>
          <w:szCs w:val="24"/>
        </w:rPr>
      </w:pPr>
      <w:r w:rsidRPr="0041475F">
        <w:rPr>
          <w:rFonts w:ascii="Arial" w:hAnsi="Arial" w:cs="Arial"/>
          <w:sz w:val="24"/>
          <w:szCs w:val="24"/>
        </w:rPr>
        <w:t xml:space="preserve">Dublin City Council will seek to ensure a high level of amenity is provided within BTR schemes. All applications should seek to demonstrate compliance with the relevant standards for storage, private and communal open space as set out in Appendix 1 of the Sustainable Urban Housing: Design Standards for New Apartments. </w:t>
      </w:r>
    </w:p>
    <w:p w14:paraId="16ECDFE7" w14:textId="77777777" w:rsidR="00B133C8" w:rsidRPr="0041475F" w:rsidRDefault="00B133C8" w:rsidP="00B133C8">
      <w:pPr>
        <w:rPr>
          <w:rFonts w:ascii="Arial" w:hAnsi="Arial" w:cs="Arial"/>
          <w:sz w:val="24"/>
          <w:szCs w:val="24"/>
        </w:rPr>
      </w:pPr>
      <w:r w:rsidRPr="0041475F">
        <w:rPr>
          <w:rFonts w:ascii="Arial" w:hAnsi="Arial" w:cs="Arial"/>
          <w:sz w:val="24"/>
          <w:szCs w:val="24"/>
        </w:rPr>
        <w:t>In all cases, the onus will be on the project proposer to demonstrate the overall quality of the facilities provided and that residents will enjoy an enhanced overall standard of amenity.</w:t>
      </w:r>
    </w:p>
    <w:p w14:paraId="18565AFD" w14:textId="77777777" w:rsidR="00B133C8" w:rsidRPr="0041475F" w:rsidRDefault="00B133C8" w:rsidP="00B133C8">
      <w:pPr>
        <w:pStyle w:val="Heading3"/>
        <w:rPr>
          <w:rFonts w:ascii="Arial" w:hAnsi="Arial" w:cs="Arial"/>
        </w:rPr>
      </w:pPr>
      <w:r w:rsidRPr="0041475F">
        <w:rPr>
          <w:rFonts w:ascii="Arial" w:hAnsi="Arial" w:cs="Arial"/>
        </w:rPr>
        <w:t>15.10.2</w:t>
      </w:r>
      <w:r w:rsidRPr="0041475F">
        <w:rPr>
          <w:rFonts w:ascii="Arial" w:hAnsi="Arial" w:cs="Arial"/>
        </w:rPr>
        <w:tab/>
        <w:t>Communal and Public Open Space</w:t>
      </w:r>
    </w:p>
    <w:p w14:paraId="43ED6CFC" w14:textId="661C8805" w:rsidR="00B133C8" w:rsidRPr="0041475F" w:rsidRDefault="00B133C8" w:rsidP="00B133C8">
      <w:pPr>
        <w:rPr>
          <w:rFonts w:ascii="Arial" w:hAnsi="Arial" w:cs="Arial"/>
          <w:sz w:val="24"/>
          <w:szCs w:val="24"/>
        </w:rPr>
      </w:pPr>
      <w:r w:rsidRPr="0041475F">
        <w:rPr>
          <w:rFonts w:ascii="Arial" w:hAnsi="Arial" w:cs="Arial"/>
          <w:sz w:val="24"/>
          <w:szCs w:val="24"/>
        </w:rPr>
        <w:t>All Built to Rent developments will be required to provide for the same quantum of external communal open space and public open space as set out for standard apartment developments, see Section 15.6.12 and 15.8.6.</w:t>
      </w:r>
    </w:p>
    <w:p w14:paraId="6F9B1E0D" w14:textId="77777777" w:rsidR="00AA7336" w:rsidRPr="00AA7336" w:rsidRDefault="00AA7336" w:rsidP="00B133C8">
      <w:pPr>
        <w:rPr>
          <w:rFonts w:ascii="Arial" w:hAnsi="Arial" w:cs="Arial"/>
          <w:strike/>
          <w:sz w:val="24"/>
          <w:szCs w:val="24"/>
        </w:rPr>
      </w:pPr>
    </w:p>
    <w:p w14:paraId="2767CBDD" w14:textId="77777777" w:rsidR="00457085" w:rsidRDefault="00457085" w:rsidP="00AA7336">
      <w:pPr>
        <w:jc w:val="both"/>
        <w:rPr>
          <w:rFonts w:ascii="Arial" w:hAnsi="Arial" w:cs="Arial"/>
          <w:b/>
          <w:sz w:val="28"/>
          <w:szCs w:val="28"/>
        </w:rPr>
      </w:pPr>
    </w:p>
    <w:p w14:paraId="50770063" w14:textId="1600684D" w:rsidR="00457085" w:rsidRDefault="00457085" w:rsidP="00AA7336">
      <w:pPr>
        <w:jc w:val="both"/>
        <w:rPr>
          <w:rFonts w:ascii="Arial" w:hAnsi="Arial" w:cs="Arial"/>
          <w:b/>
          <w:sz w:val="28"/>
          <w:szCs w:val="28"/>
        </w:rPr>
      </w:pPr>
    </w:p>
    <w:p w14:paraId="28ADFEC8" w14:textId="7A0AED57" w:rsidR="003808CE" w:rsidRDefault="003808CE" w:rsidP="00AA7336">
      <w:pPr>
        <w:jc w:val="both"/>
        <w:rPr>
          <w:rFonts w:ascii="Arial" w:hAnsi="Arial" w:cs="Arial"/>
          <w:b/>
          <w:sz w:val="28"/>
          <w:szCs w:val="28"/>
        </w:rPr>
      </w:pPr>
    </w:p>
    <w:p w14:paraId="10402030" w14:textId="77777777" w:rsidR="007C617E" w:rsidRDefault="007C617E" w:rsidP="00AA7336">
      <w:pPr>
        <w:jc w:val="both"/>
        <w:rPr>
          <w:rFonts w:ascii="Arial" w:hAnsi="Arial" w:cs="Arial"/>
          <w:b/>
          <w:sz w:val="28"/>
          <w:szCs w:val="28"/>
        </w:rPr>
      </w:pPr>
    </w:p>
    <w:p w14:paraId="67C0AF93" w14:textId="54049FE5" w:rsidR="00AA7336" w:rsidRDefault="00AA7336" w:rsidP="00AA7336">
      <w:pPr>
        <w:jc w:val="both"/>
        <w:rPr>
          <w:rFonts w:ascii="Arial" w:hAnsi="Arial" w:cs="Arial"/>
          <w:b/>
          <w:sz w:val="28"/>
          <w:szCs w:val="28"/>
        </w:rPr>
      </w:pPr>
      <w:r>
        <w:rPr>
          <w:rFonts w:ascii="Arial" w:hAnsi="Arial" w:cs="Arial"/>
          <w:b/>
          <w:sz w:val="28"/>
          <w:szCs w:val="28"/>
        </w:rPr>
        <w:lastRenderedPageBreak/>
        <w:t>Glossary</w:t>
      </w:r>
      <w:r w:rsidR="00F422F0">
        <w:rPr>
          <w:rFonts w:ascii="Arial" w:hAnsi="Arial" w:cs="Arial"/>
          <w:b/>
          <w:sz w:val="28"/>
          <w:szCs w:val="28"/>
        </w:rPr>
        <w:t xml:space="preserve"> and Acronyms</w:t>
      </w:r>
    </w:p>
    <w:p w14:paraId="2A2771A6" w14:textId="0B880968" w:rsidR="0091143F" w:rsidRDefault="00BB3639" w:rsidP="0041475F">
      <w:pPr>
        <w:pStyle w:val="Default"/>
        <w:rPr>
          <w:rFonts w:ascii="Arial" w:hAnsi="Arial" w:cs="Arial"/>
          <w:color w:val="00B0F0"/>
        </w:rPr>
      </w:pPr>
      <w:r>
        <w:rPr>
          <w:rFonts w:ascii="Arial" w:hAnsi="Arial" w:cs="Arial"/>
          <w:color w:val="00B0F0"/>
        </w:rPr>
        <w:t>Under Glossary, and under the term ‘Build to Rent Accommodation; d</w:t>
      </w:r>
      <w:r w:rsidR="0041475F">
        <w:rPr>
          <w:rFonts w:ascii="Arial" w:hAnsi="Arial" w:cs="Arial"/>
          <w:color w:val="00B0F0"/>
        </w:rPr>
        <w:t xml:space="preserve">elete </w:t>
      </w:r>
      <w:r>
        <w:rPr>
          <w:rFonts w:ascii="Arial" w:hAnsi="Arial" w:cs="Arial"/>
          <w:color w:val="00B0F0"/>
        </w:rPr>
        <w:t xml:space="preserve">the </w:t>
      </w:r>
      <w:r w:rsidR="0091143F">
        <w:rPr>
          <w:rFonts w:ascii="Arial" w:hAnsi="Arial" w:cs="Arial"/>
          <w:color w:val="00B0F0"/>
        </w:rPr>
        <w:t>last line of</w:t>
      </w:r>
      <w:r>
        <w:rPr>
          <w:rFonts w:ascii="Arial" w:hAnsi="Arial" w:cs="Arial"/>
          <w:color w:val="00B0F0"/>
        </w:rPr>
        <w:t xml:space="preserve"> the explanation</w:t>
      </w:r>
      <w:r w:rsidR="0091143F">
        <w:rPr>
          <w:rFonts w:ascii="Arial" w:hAnsi="Arial" w:cs="Arial"/>
          <w:color w:val="00B0F0"/>
        </w:rPr>
        <w:t>:</w:t>
      </w:r>
    </w:p>
    <w:p w14:paraId="13C2966A" w14:textId="77777777" w:rsidR="0091143F" w:rsidRDefault="0091143F" w:rsidP="0041475F">
      <w:pPr>
        <w:pStyle w:val="Default"/>
        <w:rPr>
          <w:rFonts w:ascii="Arial" w:hAnsi="Arial" w:cs="Arial"/>
          <w:color w:val="00B0F0"/>
        </w:rPr>
      </w:pPr>
    </w:p>
    <w:p w14:paraId="4E9E06DB" w14:textId="77777777" w:rsidR="0041475F" w:rsidRDefault="0041475F" w:rsidP="00AA7336">
      <w:pPr>
        <w:spacing w:after="0" w:line="240" w:lineRule="auto"/>
        <w:jc w:val="both"/>
        <w:rPr>
          <w:rFonts w:ascii="Arial" w:hAnsi="Arial" w:cs="Arial"/>
          <w:b/>
          <w:sz w:val="24"/>
          <w:szCs w:val="24"/>
        </w:rPr>
      </w:pPr>
    </w:p>
    <w:p w14:paraId="6C824AA6" w14:textId="5D2F7C1F" w:rsidR="00AA7336" w:rsidRPr="000B70F0" w:rsidRDefault="00AA7336" w:rsidP="00AA7336">
      <w:pPr>
        <w:rPr>
          <w:rFonts w:ascii="Arial" w:hAnsi="Arial" w:cs="Arial"/>
          <w:sz w:val="24"/>
          <w:szCs w:val="24"/>
        </w:rPr>
      </w:pPr>
      <w:r w:rsidRPr="000B70F0">
        <w:rPr>
          <w:rFonts w:ascii="Arial" w:hAnsi="Arial" w:cs="Arial"/>
          <w:sz w:val="24"/>
          <w:szCs w:val="24"/>
        </w:rPr>
        <w:t>Delete</w:t>
      </w:r>
      <w:r w:rsidR="0045586C">
        <w:rPr>
          <w:rFonts w:ascii="Arial" w:hAnsi="Arial" w:cs="Arial"/>
          <w:sz w:val="24"/>
          <w:szCs w:val="24"/>
        </w:rPr>
        <w:t>:</w:t>
      </w:r>
    </w:p>
    <w:p w14:paraId="392DE0A1" w14:textId="67740EE0" w:rsidR="0057253A" w:rsidRPr="0091143F" w:rsidRDefault="0057253A" w:rsidP="0057253A">
      <w:pPr>
        <w:spacing w:after="120"/>
        <w:rPr>
          <w:rFonts w:ascii="Arial" w:hAnsi="Arial" w:cs="Arial"/>
          <w:sz w:val="24"/>
          <w:szCs w:val="24"/>
        </w:rPr>
      </w:pPr>
      <w:r w:rsidRPr="00F422F0">
        <w:rPr>
          <w:rFonts w:ascii="Arial" w:hAnsi="Arial" w:cs="Arial"/>
          <w:b/>
          <w:sz w:val="24"/>
          <w:szCs w:val="24"/>
        </w:rPr>
        <w:t>Build to Rent Residential Accommodation:</w:t>
      </w:r>
      <w:r w:rsidRPr="00F422F0">
        <w:rPr>
          <w:rFonts w:ascii="Arial" w:hAnsi="Arial" w:cs="Arial"/>
          <w:sz w:val="24"/>
          <w:szCs w:val="24"/>
        </w:rPr>
        <w:t xml:space="preserve"> Purpose-built residential accommodation and associated amenities built specifically for long-term rental that is managed and serviced in an institutional manner by an institutional landlord. </w:t>
      </w:r>
      <w:r w:rsidRPr="0091143F">
        <w:rPr>
          <w:rFonts w:ascii="Arial" w:hAnsi="Arial" w:cs="Arial"/>
          <w:sz w:val="24"/>
          <w:szCs w:val="24"/>
        </w:rPr>
        <w:t>(see also Section 5.2 of the DHLG&amp;H’s Section 28 Guidelines, ‘’Sustainable Urban Housing: Design Standards for new Apartment’s” (2020).</w:t>
      </w:r>
    </w:p>
    <w:p w14:paraId="6A6B9D4F" w14:textId="099FB19F" w:rsidR="0091143F" w:rsidRPr="0045586C" w:rsidRDefault="0045586C" w:rsidP="0057253A">
      <w:pPr>
        <w:spacing w:after="120"/>
        <w:rPr>
          <w:rFonts w:ascii="Arial" w:hAnsi="Arial" w:cs="Arial"/>
          <w:sz w:val="24"/>
          <w:szCs w:val="24"/>
        </w:rPr>
      </w:pPr>
      <w:r w:rsidRPr="0045586C">
        <w:rPr>
          <w:rFonts w:ascii="Arial" w:hAnsi="Arial" w:cs="Arial"/>
          <w:sz w:val="24"/>
          <w:szCs w:val="24"/>
        </w:rPr>
        <w:t>Insert:</w:t>
      </w:r>
    </w:p>
    <w:p w14:paraId="505835B6" w14:textId="631168F9" w:rsidR="0091143F" w:rsidRPr="00F422F0" w:rsidRDefault="0091143F" w:rsidP="0091143F">
      <w:pPr>
        <w:spacing w:after="120"/>
        <w:rPr>
          <w:rFonts w:ascii="Arial" w:hAnsi="Arial" w:cs="Arial"/>
          <w:strike/>
          <w:sz w:val="24"/>
          <w:szCs w:val="24"/>
        </w:rPr>
      </w:pPr>
      <w:r w:rsidRPr="00F422F0">
        <w:rPr>
          <w:rFonts w:ascii="Arial" w:hAnsi="Arial" w:cs="Arial"/>
          <w:b/>
          <w:sz w:val="24"/>
          <w:szCs w:val="24"/>
        </w:rPr>
        <w:t>Build to Rent Residential Accommodation:</w:t>
      </w:r>
      <w:r w:rsidRPr="00F422F0">
        <w:rPr>
          <w:rFonts w:ascii="Arial" w:hAnsi="Arial" w:cs="Arial"/>
          <w:sz w:val="24"/>
          <w:szCs w:val="24"/>
        </w:rPr>
        <w:t xml:space="preserve"> Purpose-built residential accommodation and associated amenities built specifically for long-term rental that is managed and serviced in an institutional manner by an institutional landlord. </w:t>
      </w:r>
    </w:p>
    <w:p w14:paraId="46D0B90E" w14:textId="60EA69BB" w:rsidR="0091143F" w:rsidRDefault="0091143F" w:rsidP="0057253A">
      <w:pPr>
        <w:spacing w:after="120"/>
        <w:rPr>
          <w:rFonts w:ascii="Arial" w:hAnsi="Arial" w:cs="Arial"/>
          <w:strike/>
          <w:sz w:val="24"/>
          <w:szCs w:val="24"/>
        </w:rPr>
      </w:pPr>
    </w:p>
    <w:p w14:paraId="0C9D0457" w14:textId="5BD8F862" w:rsidR="00BB74F9" w:rsidRDefault="00BB74F9" w:rsidP="00BB74F9">
      <w:pPr>
        <w:jc w:val="both"/>
        <w:rPr>
          <w:rFonts w:ascii="Arial" w:hAnsi="Arial" w:cs="Arial"/>
          <w:b/>
          <w:sz w:val="28"/>
          <w:szCs w:val="28"/>
        </w:rPr>
      </w:pPr>
      <w:r>
        <w:rPr>
          <w:rFonts w:ascii="Arial" w:hAnsi="Arial" w:cs="Arial"/>
          <w:b/>
          <w:sz w:val="28"/>
          <w:szCs w:val="28"/>
        </w:rPr>
        <w:t>Volume 2 Appendices</w:t>
      </w:r>
      <w:r w:rsidR="00296E20">
        <w:rPr>
          <w:rFonts w:ascii="Arial" w:hAnsi="Arial" w:cs="Arial"/>
          <w:b/>
          <w:sz w:val="28"/>
          <w:szCs w:val="28"/>
        </w:rPr>
        <w:t>, Table of Contents</w:t>
      </w:r>
    </w:p>
    <w:p w14:paraId="5EEFDD55" w14:textId="72661753" w:rsidR="00296E20" w:rsidRDefault="00966A33" w:rsidP="00296E20">
      <w:pPr>
        <w:pStyle w:val="Default"/>
        <w:rPr>
          <w:rFonts w:ascii="Arial" w:hAnsi="Arial" w:cs="Arial"/>
          <w:color w:val="00B0F0"/>
        </w:rPr>
      </w:pPr>
      <w:r>
        <w:rPr>
          <w:rFonts w:ascii="Arial" w:hAnsi="Arial" w:cs="Arial"/>
          <w:color w:val="00B0F0"/>
        </w:rPr>
        <w:t>After Appendix 18 insert new Appendix 19</w:t>
      </w:r>
      <w:r w:rsidR="002044B2">
        <w:rPr>
          <w:rFonts w:ascii="Arial" w:hAnsi="Arial" w:cs="Arial"/>
          <w:color w:val="00B0F0"/>
        </w:rPr>
        <w:t>:</w:t>
      </w:r>
    </w:p>
    <w:p w14:paraId="1603F450" w14:textId="77777777" w:rsidR="002044B2" w:rsidRDefault="002044B2" w:rsidP="00296E20">
      <w:pPr>
        <w:pStyle w:val="Default"/>
        <w:rPr>
          <w:rFonts w:ascii="Arial" w:hAnsi="Arial" w:cs="Arial"/>
          <w:color w:val="00B0F0"/>
        </w:rPr>
      </w:pPr>
    </w:p>
    <w:p w14:paraId="51339F45" w14:textId="77777777" w:rsidR="00296E20" w:rsidRPr="00296E20" w:rsidRDefault="00BB74F9" w:rsidP="00BB74F9">
      <w:pPr>
        <w:spacing w:after="0" w:line="240" w:lineRule="auto"/>
        <w:jc w:val="both"/>
        <w:rPr>
          <w:rFonts w:ascii="Arial" w:hAnsi="Arial" w:cs="Arial"/>
          <w:sz w:val="24"/>
          <w:szCs w:val="24"/>
        </w:rPr>
      </w:pPr>
      <w:r w:rsidRPr="00296E20">
        <w:rPr>
          <w:rFonts w:ascii="Arial" w:hAnsi="Arial" w:cs="Arial"/>
          <w:sz w:val="24"/>
          <w:szCs w:val="24"/>
        </w:rPr>
        <w:t>Insert</w:t>
      </w:r>
      <w:r w:rsidR="00296E20" w:rsidRPr="00296E20">
        <w:rPr>
          <w:rFonts w:ascii="Arial" w:hAnsi="Arial" w:cs="Arial"/>
          <w:sz w:val="24"/>
          <w:szCs w:val="24"/>
        </w:rPr>
        <w:t>:</w:t>
      </w:r>
    </w:p>
    <w:p w14:paraId="64E5C316" w14:textId="77777777" w:rsidR="00296E20" w:rsidRDefault="00296E20" w:rsidP="00BB74F9">
      <w:pPr>
        <w:spacing w:after="0" w:line="240" w:lineRule="auto"/>
        <w:jc w:val="both"/>
        <w:rPr>
          <w:rFonts w:ascii="Arial" w:hAnsi="Arial" w:cs="Arial"/>
          <w:b/>
          <w:sz w:val="24"/>
          <w:szCs w:val="24"/>
        </w:rPr>
      </w:pPr>
    </w:p>
    <w:p w14:paraId="2D6976E2" w14:textId="2ECAE7B0" w:rsidR="00BB74F9" w:rsidRPr="00296E20" w:rsidRDefault="00BB74F9" w:rsidP="00BB74F9">
      <w:pPr>
        <w:spacing w:after="0" w:line="240" w:lineRule="auto"/>
        <w:jc w:val="both"/>
        <w:rPr>
          <w:rFonts w:ascii="Arial" w:hAnsi="Arial" w:cs="Arial"/>
          <w:sz w:val="24"/>
          <w:szCs w:val="24"/>
        </w:rPr>
      </w:pPr>
      <w:r w:rsidRPr="00296E20">
        <w:rPr>
          <w:rFonts w:ascii="Arial" w:hAnsi="Arial" w:cs="Arial"/>
          <w:sz w:val="24"/>
          <w:szCs w:val="24"/>
        </w:rPr>
        <w:t xml:space="preserve">Appendix 19: </w:t>
      </w:r>
      <w:r w:rsidRPr="00296E20">
        <w:rPr>
          <w:rFonts w:ascii="Arial" w:hAnsi="Arial" w:cs="Arial"/>
          <w:bCs/>
          <w:sz w:val="24"/>
          <w:szCs w:val="24"/>
        </w:rPr>
        <w:t>Tr</w:t>
      </w:r>
      <w:r w:rsidRPr="00296E20">
        <w:rPr>
          <w:rFonts w:ascii="Arial" w:hAnsi="Arial" w:cs="Arial"/>
          <w:sz w:val="24"/>
          <w:szCs w:val="24"/>
        </w:rPr>
        <w:t>ansitional Arrangements for Build-To-Rent Accommodation proposals………….428</w:t>
      </w:r>
    </w:p>
    <w:p w14:paraId="1BE71F00" w14:textId="5199C1EA" w:rsidR="00BB74F9" w:rsidRDefault="00BB74F9" w:rsidP="0057253A">
      <w:pPr>
        <w:spacing w:after="120"/>
        <w:rPr>
          <w:rFonts w:ascii="Arial" w:hAnsi="Arial" w:cs="Arial"/>
          <w:strike/>
          <w:sz w:val="24"/>
          <w:szCs w:val="24"/>
        </w:rPr>
      </w:pPr>
    </w:p>
    <w:p w14:paraId="6C88B807" w14:textId="77777777" w:rsidR="00966A33" w:rsidRDefault="00966A33" w:rsidP="0007493A">
      <w:pPr>
        <w:jc w:val="both"/>
        <w:rPr>
          <w:rFonts w:ascii="Arial" w:hAnsi="Arial" w:cs="Arial"/>
          <w:b/>
          <w:sz w:val="28"/>
          <w:szCs w:val="28"/>
        </w:rPr>
      </w:pPr>
    </w:p>
    <w:p w14:paraId="065E5593" w14:textId="0A0B3F51" w:rsidR="0007493A" w:rsidRDefault="0045586C" w:rsidP="0007493A">
      <w:pPr>
        <w:jc w:val="both"/>
        <w:rPr>
          <w:rFonts w:ascii="Arial" w:hAnsi="Arial" w:cs="Arial"/>
          <w:b/>
          <w:sz w:val="28"/>
          <w:szCs w:val="28"/>
        </w:rPr>
      </w:pPr>
      <w:r>
        <w:rPr>
          <w:rFonts w:ascii="Arial" w:hAnsi="Arial" w:cs="Arial"/>
          <w:b/>
          <w:sz w:val="28"/>
          <w:szCs w:val="28"/>
        </w:rPr>
        <w:t xml:space="preserve">Volume 2 Appendices, </w:t>
      </w:r>
      <w:r w:rsidR="0007493A">
        <w:rPr>
          <w:rFonts w:ascii="Arial" w:hAnsi="Arial" w:cs="Arial"/>
          <w:b/>
          <w:sz w:val="28"/>
          <w:szCs w:val="28"/>
        </w:rPr>
        <w:t>Appendix 14: Statement Demonstrating Compliance with Section 28 Guidelines</w:t>
      </w:r>
    </w:p>
    <w:p w14:paraId="683730AA" w14:textId="4966202A" w:rsidR="0007493A" w:rsidRPr="000E69FC" w:rsidRDefault="00966A33" w:rsidP="002044B2">
      <w:pPr>
        <w:pStyle w:val="Default"/>
        <w:rPr>
          <w:rFonts w:ascii="Arial" w:hAnsi="Arial" w:cs="Arial"/>
          <w:color w:val="00B0F0"/>
        </w:rPr>
      </w:pPr>
      <w:r>
        <w:rPr>
          <w:rFonts w:ascii="Arial" w:hAnsi="Arial" w:cs="Arial"/>
          <w:color w:val="00B0F0"/>
        </w:rPr>
        <w:t xml:space="preserve">Under Table 2 </w:t>
      </w:r>
      <w:r w:rsidR="002044B2">
        <w:rPr>
          <w:rFonts w:ascii="Arial" w:hAnsi="Arial" w:cs="Arial"/>
          <w:color w:val="00B0F0"/>
        </w:rPr>
        <w:t xml:space="preserve">- </w:t>
      </w:r>
      <w:r w:rsidR="0007493A" w:rsidRPr="000E69FC">
        <w:rPr>
          <w:rFonts w:ascii="Arial" w:hAnsi="Arial" w:cs="Arial"/>
          <w:color w:val="00B0F0"/>
        </w:rPr>
        <w:t>Implementation of SPPRs from DLPLG (2018) Sustainable Urban Housing</w:t>
      </w:r>
      <w:r w:rsidR="002044B2">
        <w:rPr>
          <w:rFonts w:ascii="Arial" w:hAnsi="Arial" w:cs="Arial"/>
          <w:color w:val="00B0F0"/>
        </w:rPr>
        <w:t xml:space="preserve">, </w:t>
      </w:r>
      <w:r w:rsidR="0033368F">
        <w:rPr>
          <w:rFonts w:ascii="Arial" w:hAnsi="Arial" w:cs="Arial"/>
          <w:color w:val="00B0F0"/>
        </w:rPr>
        <w:t>delete ‘Specific Planning Policy Recommendations</w:t>
      </w:r>
      <w:r w:rsidR="000C246F">
        <w:rPr>
          <w:rFonts w:ascii="Arial" w:hAnsi="Arial" w:cs="Arial"/>
          <w:color w:val="00B0F0"/>
        </w:rPr>
        <w:t xml:space="preserve"> </w:t>
      </w:r>
      <w:r w:rsidR="006966C8">
        <w:rPr>
          <w:rFonts w:ascii="Arial" w:hAnsi="Arial" w:cs="Arial"/>
          <w:color w:val="00B0F0"/>
        </w:rPr>
        <w:t>- SPPR</w:t>
      </w:r>
      <w:r w:rsidR="002044B2">
        <w:rPr>
          <w:rFonts w:ascii="Arial" w:hAnsi="Arial" w:cs="Arial"/>
          <w:color w:val="00B0F0"/>
        </w:rPr>
        <w:t xml:space="preserve"> </w:t>
      </w:r>
      <w:r w:rsidR="002044B2" w:rsidRPr="000E69FC">
        <w:rPr>
          <w:rFonts w:ascii="Arial" w:hAnsi="Arial" w:cs="Arial"/>
          <w:color w:val="00B0F0"/>
        </w:rPr>
        <w:t>7: BTR Development and SPPR</w:t>
      </w:r>
      <w:r w:rsidR="000C246F">
        <w:rPr>
          <w:rFonts w:ascii="Arial" w:hAnsi="Arial" w:cs="Arial"/>
          <w:color w:val="00B0F0"/>
        </w:rPr>
        <w:t xml:space="preserve"> 8 and text in opposite</w:t>
      </w:r>
      <w:r w:rsidR="0033368F">
        <w:rPr>
          <w:rFonts w:ascii="Arial" w:hAnsi="Arial" w:cs="Arial"/>
          <w:color w:val="00B0F0"/>
        </w:rPr>
        <w:t xml:space="preserve"> </w:t>
      </w:r>
      <w:r w:rsidR="000C246F">
        <w:rPr>
          <w:rFonts w:ascii="Arial" w:hAnsi="Arial" w:cs="Arial"/>
          <w:color w:val="00B0F0"/>
        </w:rPr>
        <w:t>‘</w:t>
      </w:r>
      <w:r w:rsidR="0033368F">
        <w:rPr>
          <w:rFonts w:ascii="Arial" w:hAnsi="Arial" w:cs="Arial"/>
          <w:color w:val="00B0F0"/>
        </w:rPr>
        <w:t>Implementation</w:t>
      </w:r>
      <w:r w:rsidR="000C246F">
        <w:rPr>
          <w:rFonts w:ascii="Arial" w:hAnsi="Arial" w:cs="Arial"/>
          <w:color w:val="00B0F0"/>
        </w:rPr>
        <w:t>’ column</w:t>
      </w:r>
      <w:r w:rsidR="0033368F">
        <w:rPr>
          <w:rFonts w:ascii="Arial" w:hAnsi="Arial" w:cs="Arial"/>
          <w:color w:val="00B0F0"/>
        </w:rPr>
        <w:t>:</w:t>
      </w:r>
    </w:p>
    <w:p w14:paraId="6C1B74D4" w14:textId="0C9CA68C" w:rsidR="0007493A" w:rsidRPr="000E69FC" w:rsidRDefault="0007493A" w:rsidP="0007493A">
      <w:pPr>
        <w:spacing w:after="0" w:line="240" w:lineRule="auto"/>
        <w:rPr>
          <w:rFonts w:ascii="Arial" w:hAnsi="Arial" w:cs="Arial"/>
          <w:b/>
          <w:sz w:val="24"/>
          <w:szCs w:val="24"/>
        </w:rPr>
      </w:pPr>
    </w:p>
    <w:p w14:paraId="745DDBCE" w14:textId="53789F11" w:rsidR="0007493A" w:rsidRPr="000E69FC" w:rsidRDefault="0045586C" w:rsidP="0007493A">
      <w:pPr>
        <w:jc w:val="both"/>
        <w:rPr>
          <w:rFonts w:ascii="Arial" w:hAnsi="Arial" w:cs="Arial"/>
          <w:sz w:val="24"/>
          <w:szCs w:val="24"/>
        </w:rPr>
      </w:pPr>
      <w:r w:rsidRPr="000E69FC">
        <w:rPr>
          <w:rFonts w:ascii="Arial" w:hAnsi="Arial" w:cs="Arial"/>
          <w:sz w:val="24"/>
          <w:szCs w:val="24"/>
        </w:rPr>
        <w:t>Delete:</w:t>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BE4D5" w:themeFill="accent2" w:themeFillTint="33"/>
        <w:tblLook w:val="04A0" w:firstRow="1" w:lastRow="0" w:firstColumn="1" w:lastColumn="0" w:noHBand="0" w:noVBand="1"/>
      </w:tblPr>
      <w:tblGrid>
        <w:gridCol w:w="4508"/>
        <w:gridCol w:w="4508"/>
      </w:tblGrid>
      <w:tr w:rsidR="004A19D0" w:rsidRPr="003B03AF" w14:paraId="58008D4C" w14:textId="77777777" w:rsidTr="00FE0594">
        <w:trPr>
          <w:cantSplit/>
        </w:trPr>
        <w:tc>
          <w:tcPr>
            <w:tcW w:w="4508" w:type="dxa"/>
            <w:shd w:val="clear" w:color="auto" w:fill="FBE4D5" w:themeFill="accent2" w:themeFillTint="33"/>
            <w:vAlign w:val="center"/>
          </w:tcPr>
          <w:p w14:paraId="747C0216" w14:textId="77777777" w:rsidR="004A19D0" w:rsidRPr="0045586C" w:rsidRDefault="004A19D0" w:rsidP="00FE0594">
            <w:pPr>
              <w:spacing w:before="100" w:after="100"/>
            </w:pPr>
            <w:r w:rsidRPr="0045586C">
              <w:rPr>
                <w:b/>
              </w:rPr>
              <w:t xml:space="preserve">SPPR 7: </w:t>
            </w:r>
            <w:r w:rsidRPr="0045586C">
              <w:t>BTR development</w:t>
            </w:r>
          </w:p>
        </w:tc>
        <w:tc>
          <w:tcPr>
            <w:tcW w:w="4508" w:type="dxa"/>
            <w:shd w:val="clear" w:color="auto" w:fill="FBE4D5" w:themeFill="accent2" w:themeFillTint="33"/>
            <w:vAlign w:val="center"/>
          </w:tcPr>
          <w:p w14:paraId="5468EAB2" w14:textId="77777777" w:rsidR="004A19D0" w:rsidRPr="0045586C" w:rsidRDefault="004A19D0" w:rsidP="00FE0594">
            <w:pPr>
              <w:spacing w:before="100" w:after="100"/>
            </w:pPr>
            <w:r w:rsidRPr="0045586C">
              <w:t>Chapter 15 Development Standards, which sets out the relevant standards relating to BTR developments, complies with SPPR7.</w:t>
            </w:r>
          </w:p>
        </w:tc>
      </w:tr>
      <w:tr w:rsidR="004A19D0" w:rsidRPr="003B03AF" w14:paraId="5A3BBB18" w14:textId="77777777" w:rsidTr="00FE0594">
        <w:trPr>
          <w:cantSplit/>
        </w:trPr>
        <w:tc>
          <w:tcPr>
            <w:tcW w:w="4508" w:type="dxa"/>
            <w:shd w:val="clear" w:color="auto" w:fill="F7CAAC" w:themeFill="accent2" w:themeFillTint="66"/>
          </w:tcPr>
          <w:p w14:paraId="28398643" w14:textId="77777777" w:rsidR="004A19D0" w:rsidRPr="0045586C" w:rsidRDefault="004A19D0" w:rsidP="00FE0594">
            <w:pPr>
              <w:spacing w:before="100" w:after="100"/>
            </w:pPr>
            <w:r w:rsidRPr="0045586C">
              <w:rPr>
                <w:b/>
              </w:rPr>
              <w:t>SPPR 8:</w:t>
            </w:r>
            <w:r w:rsidRPr="0045586C">
              <w:t xml:space="preserve"> Proposals that qualify as specific BTR development</w:t>
            </w:r>
          </w:p>
        </w:tc>
        <w:tc>
          <w:tcPr>
            <w:tcW w:w="4508" w:type="dxa"/>
            <w:shd w:val="clear" w:color="auto" w:fill="F7CAAC" w:themeFill="accent2" w:themeFillTint="66"/>
          </w:tcPr>
          <w:p w14:paraId="41E07029" w14:textId="77777777" w:rsidR="004A19D0" w:rsidRPr="0045586C" w:rsidRDefault="004A19D0" w:rsidP="00FE0594">
            <w:pPr>
              <w:spacing w:before="100" w:after="100"/>
            </w:pPr>
            <w:r w:rsidRPr="0045586C">
              <w:t>Chapter 15 Development Standards, which sets out the relevant standards relating to BTR developments, complies with SPPR8.</w:t>
            </w:r>
          </w:p>
        </w:tc>
      </w:tr>
    </w:tbl>
    <w:p w14:paraId="1D941A76" w14:textId="59F2701C" w:rsidR="00895F72" w:rsidRDefault="002044B2" w:rsidP="00895F72">
      <w:pPr>
        <w:jc w:val="both"/>
        <w:rPr>
          <w:rFonts w:ascii="Arial" w:hAnsi="Arial" w:cs="Arial"/>
          <w:b/>
          <w:sz w:val="28"/>
          <w:szCs w:val="28"/>
        </w:rPr>
      </w:pPr>
      <w:r>
        <w:rPr>
          <w:rFonts w:ascii="Arial" w:hAnsi="Arial" w:cs="Arial"/>
          <w:b/>
          <w:sz w:val="28"/>
          <w:szCs w:val="28"/>
        </w:rPr>
        <w:lastRenderedPageBreak/>
        <w:t>V</w:t>
      </w:r>
      <w:r w:rsidR="00BB74F9">
        <w:rPr>
          <w:rFonts w:ascii="Arial" w:hAnsi="Arial" w:cs="Arial"/>
          <w:b/>
          <w:sz w:val="28"/>
          <w:szCs w:val="28"/>
        </w:rPr>
        <w:t xml:space="preserve">olume 2 Appendices, </w:t>
      </w:r>
      <w:r w:rsidR="00895F72">
        <w:rPr>
          <w:rFonts w:ascii="Arial" w:hAnsi="Arial" w:cs="Arial"/>
          <w:b/>
          <w:sz w:val="28"/>
          <w:szCs w:val="28"/>
        </w:rPr>
        <w:t>Appendix 15: Land Use Definitions</w:t>
      </w:r>
    </w:p>
    <w:p w14:paraId="22E1D7B9" w14:textId="77777777" w:rsidR="0045586C" w:rsidRDefault="0045586C" w:rsidP="00895F72">
      <w:pPr>
        <w:spacing w:after="0" w:line="240" w:lineRule="auto"/>
        <w:jc w:val="both"/>
        <w:rPr>
          <w:rFonts w:ascii="Arial" w:hAnsi="Arial" w:cs="Arial"/>
          <w:b/>
          <w:sz w:val="24"/>
          <w:szCs w:val="24"/>
        </w:rPr>
      </w:pPr>
    </w:p>
    <w:p w14:paraId="254E1CA0" w14:textId="51443CE6" w:rsidR="00474258" w:rsidRDefault="006966C8" w:rsidP="0045586C">
      <w:pPr>
        <w:pStyle w:val="Default"/>
        <w:rPr>
          <w:rFonts w:ascii="Arial" w:hAnsi="Arial" w:cs="Arial"/>
          <w:color w:val="00B0F0"/>
        </w:rPr>
      </w:pPr>
      <w:r>
        <w:rPr>
          <w:rFonts w:ascii="Arial" w:hAnsi="Arial" w:cs="Arial"/>
          <w:color w:val="00B0F0"/>
        </w:rPr>
        <w:t>Under ‘Land Use Definitions’ a</w:t>
      </w:r>
      <w:r w:rsidR="00472C22">
        <w:rPr>
          <w:rFonts w:ascii="Arial" w:hAnsi="Arial" w:cs="Arial"/>
          <w:color w:val="00B0F0"/>
        </w:rPr>
        <w:t>lter the land use definition</w:t>
      </w:r>
      <w:r w:rsidR="005A195E">
        <w:rPr>
          <w:rFonts w:ascii="Arial" w:hAnsi="Arial" w:cs="Arial"/>
          <w:color w:val="00B0F0"/>
        </w:rPr>
        <w:t xml:space="preserve"> of </w:t>
      </w:r>
      <w:r w:rsidR="00472C22">
        <w:rPr>
          <w:rFonts w:ascii="Arial" w:hAnsi="Arial" w:cs="Arial"/>
          <w:color w:val="00B0F0"/>
        </w:rPr>
        <w:t xml:space="preserve"> - ‘</w:t>
      </w:r>
      <w:r w:rsidR="0045586C">
        <w:rPr>
          <w:rFonts w:ascii="Arial" w:hAnsi="Arial" w:cs="Arial"/>
          <w:color w:val="00B0F0"/>
        </w:rPr>
        <w:t>Build to Rent Residential Accommodation</w:t>
      </w:r>
      <w:r w:rsidR="00472C22">
        <w:rPr>
          <w:rFonts w:ascii="Arial" w:hAnsi="Arial" w:cs="Arial"/>
          <w:color w:val="00B0F0"/>
        </w:rPr>
        <w:t>’</w:t>
      </w:r>
      <w:r w:rsidR="005A195E">
        <w:rPr>
          <w:rFonts w:ascii="Arial" w:hAnsi="Arial" w:cs="Arial"/>
          <w:color w:val="00B0F0"/>
        </w:rPr>
        <w:t xml:space="preserve"> - </w:t>
      </w:r>
      <w:r w:rsidR="00D702C3">
        <w:rPr>
          <w:rFonts w:ascii="Arial" w:hAnsi="Arial" w:cs="Arial"/>
          <w:color w:val="00B0F0"/>
        </w:rPr>
        <w:t xml:space="preserve">by deleting the </w:t>
      </w:r>
      <w:r w:rsidR="00F43C0D">
        <w:rPr>
          <w:rFonts w:ascii="Arial" w:hAnsi="Arial" w:cs="Arial"/>
          <w:color w:val="00B0F0"/>
        </w:rPr>
        <w:t xml:space="preserve">text in brackets </w:t>
      </w:r>
      <w:r w:rsidR="005A195E">
        <w:rPr>
          <w:rFonts w:ascii="Arial" w:hAnsi="Arial" w:cs="Arial"/>
          <w:color w:val="00B0F0"/>
        </w:rPr>
        <w:t xml:space="preserve">and brackets </w:t>
      </w:r>
      <w:r w:rsidR="00F43C0D">
        <w:rPr>
          <w:rFonts w:ascii="Arial" w:hAnsi="Arial" w:cs="Arial"/>
          <w:color w:val="00B0F0"/>
        </w:rPr>
        <w:t>at the end of the definition:</w:t>
      </w:r>
      <w:r w:rsidR="00D702C3">
        <w:rPr>
          <w:rFonts w:ascii="Arial" w:hAnsi="Arial" w:cs="Arial"/>
          <w:color w:val="00B0F0"/>
        </w:rPr>
        <w:t xml:space="preserve">  </w:t>
      </w:r>
    </w:p>
    <w:p w14:paraId="1F8F7D05" w14:textId="77777777" w:rsidR="0045586C" w:rsidRPr="00B26556" w:rsidRDefault="0045586C" w:rsidP="0045586C">
      <w:pPr>
        <w:pStyle w:val="Default"/>
        <w:rPr>
          <w:rFonts w:ascii="Arial" w:hAnsi="Arial" w:cs="Arial"/>
          <w:bCs/>
        </w:rPr>
      </w:pPr>
    </w:p>
    <w:p w14:paraId="5C1D09A9" w14:textId="4DF07D4D" w:rsidR="00895F72" w:rsidRPr="000B70F0" w:rsidRDefault="00895F72" w:rsidP="00895F72">
      <w:pPr>
        <w:rPr>
          <w:rFonts w:ascii="Arial" w:hAnsi="Arial" w:cs="Arial"/>
          <w:sz w:val="24"/>
          <w:szCs w:val="24"/>
        </w:rPr>
      </w:pPr>
      <w:r w:rsidRPr="000B70F0">
        <w:rPr>
          <w:rFonts w:ascii="Arial" w:hAnsi="Arial" w:cs="Arial"/>
          <w:sz w:val="24"/>
          <w:szCs w:val="24"/>
        </w:rPr>
        <w:t>D</w:t>
      </w:r>
      <w:r w:rsidR="0045586C">
        <w:rPr>
          <w:rFonts w:ascii="Arial" w:hAnsi="Arial" w:cs="Arial"/>
          <w:sz w:val="24"/>
          <w:szCs w:val="24"/>
        </w:rPr>
        <w:t>elete</w:t>
      </w:r>
      <w:r w:rsidRPr="000B70F0">
        <w:rPr>
          <w:rFonts w:ascii="Arial" w:hAnsi="Arial" w:cs="Arial"/>
          <w:sz w:val="24"/>
          <w:szCs w:val="24"/>
        </w:rPr>
        <w:t>:</w:t>
      </w:r>
    </w:p>
    <w:p w14:paraId="61087CB9" w14:textId="77777777" w:rsidR="00895F72" w:rsidRPr="00276D88" w:rsidRDefault="00895F72" w:rsidP="00895F72">
      <w:pPr>
        <w:pStyle w:val="Heading3"/>
        <w:rPr>
          <w:rFonts w:ascii="Arial" w:hAnsi="Arial" w:cs="Arial"/>
          <w:color w:val="auto"/>
        </w:rPr>
      </w:pPr>
      <w:r w:rsidRPr="00276D88">
        <w:rPr>
          <w:rFonts w:ascii="Arial" w:hAnsi="Arial" w:cs="Arial"/>
          <w:color w:val="auto"/>
        </w:rPr>
        <w:t>Build to Rent Residential Accommodation</w:t>
      </w:r>
    </w:p>
    <w:p w14:paraId="1DA5A75E" w14:textId="02D6FFBC" w:rsidR="00895F72" w:rsidRPr="0045586C" w:rsidRDefault="00895F72" w:rsidP="00895F72">
      <w:pPr>
        <w:rPr>
          <w:rFonts w:ascii="Arial" w:hAnsi="Arial" w:cs="Arial"/>
          <w:sz w:val="24"/>
          <w:szCs w:val="24"/>
        </w:rPr>
      </w:pPr>
      <w:r w:rsidRPr="00276D88">
        <w:rPr>
          <w:rFonts w:ascii="Arial" w:hAnsi="Arial" w:cs="Arial"/>
          <w:sz w:val="24"/>
          <w:szCs w:val="24"/>
        </w:rPr>
        <w:t>Purpose-built residential accommodation and associated amenities built specifically for long-term rental that is managed and serviced in an institutional mann</w:t>
      </w:r>
      <w:r w:rsidR="00F43C0D">
        <w:rPr>
          <w:rFonts w:ascii="Arial" w:hAnsi="Arial" w:cs="Arial"/>
          <w:sz w:val="24"/>
          <w:szCs w:val="24"/>
        </w:rPr>
        <w:t>er by an institutional landlord</w:t>
      </w:r>
      <w:r w:rsidRPr="00276D88">
        <w:rPr>
          <w:rFonts w:ascii="Arial" w:hAnsi="Arial" w:cs="Arial"/>
          <w:sz w:val="24"/>
          <w:szCs w:val="24"/>
        </w:rPr>
        <w:t xml:space="preserve"> </w:t>
      </w:r>
      <w:r w:rsidRPr="0045586C">
        <w:rPr>
          <w:rFonts w:ascii="Arial" w:hAnsi="Arial" w:cs="Arial"/>
          <w:sz w:val="24"/>
          <w:szCs w:val="24"/>
        </w:rPr>
        <w:t>(see also section 5.0 of the DHPLG Section 28 Guidelines, Sustainable Urban Housing: Design Standards for new Apartments (2020)).</w:t>
      </w:r>
    </w:p>
    <w:p w14:paraId="164A7168" w14:textId="5901C42B" w:rsidR="0045586C" w:rsidRDefault="0045586C" w:rsidP="00895F72">
      <w:pPr>
        <w:rPr>
          <w:rFonts w:ascii="Arial" w:hAnsi="Arial" w:cs="Arial"/>
          <w:sz w:val="24"/>
          <w:szCs w:val="24"/>
        </w:rPr>
      </w:pPr>
      <w:r w:rsidRPr="0045586C">
        <w:rPr>
          <w:rFonts w:ascii="Arial" w:hAnsi="Arial" w:cs="Arial"/>
          <w:sz w:val="24"/>
          <w:szCs w:val="24"/>
        </w:rPr>
        <w:t xml:space="preserve">Insert: </w:t>
      </w:r>
    </w:p>
    <w:p w14:paraId="3CACA8C5" w14:textId="77777777" w:rsidR="0045586C" w:rsidRPr="00276D88" w:rsidRDefault="0045586C" w:rsidP="0045586C">
      <w:pPr>
        <w:pStyle w:val="Heading3"/>
        <w:rPr>
          <w:rFonts w:ascii="Arial" w:hAnsi="Arial" w:cs="Arial"/>
          <w:color w:val="auto"/>
        </w:rPr>
      </w:pPr>
      <w:r w:rsidRPr="00276D88">
        <w:rPr>
          <w:rFonts w:ascii="Arial" w:hAnsi="Arial" w:cs="Arial"/>
          <w:color w:val="auto"/>
        </w:rPr>
        <w:t>Build to Rent Residential Accommodation</w:t>
      </w:r>
    </w:p>
    <w:p w14:paraId="46D35DE4" w14:textId="35C5C2E1" w:rsidR="0045586C" w:rsidRDefault="0045586C" w:rsidP="0045586C">
      <w:pPr>
        <w:rPr>
          <w:rFonts w:ascii="Arial" w:hAnsi="Arial" w:cs="Arial"/>
          <w:strike/>
          <w:sz w:val="24"/>
          <w:szCs w:val="24"/>
        </w:rPr>
      </w:pPr>
      <w:r w:rsidRPr="00276D88">
        <w:rPr>
          <w:rFonts w:ascii="Arial" w:hAnsi="Arial" w:cs="Arial"/>
          <w:sz w:val="24"/>
          <w:szCs w:val="24"/>
        </w:rPr>
        <w:t xml:space="preserve">Purpose-built residential accommodation and associated amenities built specifically for long-term rental that is managed and serviced in an institutional manner by an institutional landlord. </w:t>
      </w:r>
    </w:p>
    <w:p w14:paraId="33CF8EF9" w14:textId="77777777" w:rsidR="0045586C" w:rsidRPr="0045586C" w:rsidRDefault="0045586C" w:rsidP="00895F72">
      <w:pPr>
        <w:rPr>
          <w:rFonts w:ascii="Arial" w:hAnsi="Arial" w:cs="Arial"/>
          <w:sz w:val="24"/>
          <w:szCs w:val="24"/>
        </w:rPr>
      </w:pPr>
    </w:p>
    <w:p w14:paraId="086B75D5" w14:textId="1FAD0A38" w:rsidR="00FE0594" w:rsidRDefault="00FE0594">
      <w:pPr>
        <w:spacing w:after="160" w:line="259" w:lineRule="auto"/>
        <w:rPr>
          <w:rFonts w:ascii="Arial" w:hAnsi="Arial" w:cs="Arial"/>
          <w:b/>
          <w:sz w:val="28"/>
          <w:szCs w:val="28"/>
        </w:rPr>
      </w:pPr>
      <w:r>
        <w:rPr>
          <w:rFonts w:ascii="Arial" w:hAnsi="Arial" w:cs="Arial"/>
          <w:b/>
          <w:sz w:val="28"/>
          <w:szCs w:val="28"/>
        </w:rPr>
        <w:br w:type="page"/>
      </w:r>
    </w:p>
    <w:p w14:paraId="0F141DD8" w14:textId="63C31638" w:rsidR="003072CD" w:rsidRDefault="003072CD" w:rsidP="003072CD">
      <w:pPr>
        <w:jc w:val="both"/>
        <w:rPr>
          <w:rFonts w:ascii="Arial" w:hAnsi="Arial" w:cs="Arial"/>
          <w:b/>
          <w:sz w:val="28"/>
          <w:szCs w:val="28"/>
        </w:rPr>
      </w:pPr>
      <w:r>
        <w:rPr>
          <w:rFonts w:ascii="Arial" w:hAnsi="Arial" w:cs="Arial"/>
          <w:b/>
          <w:sz w:val="28"/>
          <w:szCs w:val="28"/>
        </w:rPr>
        <w:lastRenderedPageBreak/>
        <w:t>Volume 2 Appendices</w:t>
      </w:r>
    </w:p>
    <w:p w14:paraId="4E385356" w14:textId="4EC4964D" w:rsidR="00BC5743" w:rsidRPr="00BC5743" w:rsidRDefault="00BC5743" w:rsidP="003072CD">
      <w:pPr>
        <w:jc w:val="both"/>
        <w:rPr>
          <w:rFonts w:ascii="Arial" w:hAnsi="Arial" w:cs="Arial"/>
          <w:b/>
          <w:color w:val="00B0F0"/>
          <w:sz w:val="28"/>
          <w:szCs w:val="28"/>
        </w:rPr>
      </w:pPr>
      <w:r>
        <w:rPr>
          <w:rFonts w:ascii="Arial" w:hAnsi="Arial" w:cs="Arial"/>
          <w:b/>
          <w:color w:val="00B0F0"/>
          <w:sz w:val="28"/>
          <w:szCs w:val="28"/>
        </w:rPr>
        <w:t xml:space="preserve">Insert new Appendix 19 after Appendix 18 as follows: </w:t>
      </w:r>
    </w:p>
    <w:p w14:paraId="0036CE4B" w14:textId="56288A81" w:rsidR="003072CD" w:rsidRPr="00BC5743" w:rsidRDefault="00BC5743" w:rsidP="003072CD">
      <w:pPr>
        <w:jc w:val="both"/>
        <w:rPr>
          <w:rFonts w:ascii="Arial" w:hAnsi="Arial" w:cs="Arial"/>
          <w:sz w:val="28"/>
          <w:szCs w:val="28"/>
        </w:rPr>
      </w:pPr>
      <w:r>
        <w:rPr>
          <w:rFonts w:ascii="Arial" w:hAnsi="Arial" w:cs="Arial"/>
          <w:sz w:val="28"/>
          <w:szCs w:val="28"/>
        </w:rPr>
        <w:t>Insert:</w:t>
      </w:r>
    </w:p>
    <w:p w14:paraId="2BCC9EE6" w14:textId="16A459DF" w:rsidR="00DD3E43" w:rsidRPr="00BC5743" w:rsidRDefault="003072CD" w:rsidP="00DD3E43">
      <w:pPr>
        <w:jc w:val="both"/>
        <w:rPr>
          <w:rFonts w:ascii="Arial" w:hAnsi="Arial" w:cs="Arial"/>
          <w:b/>
          <w:sz w:val="24"/>
          <w:szCs w:val="24"/>
        </w:rPr>
      </w:pPr>
      <w:r w:rsidRPr="00BC5743">
        <w:rPr>
          <w:rFonts w:ascii="Arial" w:hAnsi="Arial" w:cs="Arial"/>
          <w:b/>
          <w:sz w:val="24"/>
          <w:szCs w:val="24"/>
        </w:rPr>
        <w:t>Appendix 19: Transit</w:t>
      </w:r>
      <w:r w:rsidR="00AB675F" w:rsidRPr="00BC5743">
        <w:rPr>
          <w:rFonts w:ascii="Arial" w:hAnsi="Arial" w:cs="Arial"/>
          <w:b/>
          <w:sz w:val="24"/>
          <w:szCs w:val="24"/>
        </w:rPr>
        <w:t xml:space="preserve">ional Arrangements for </w:t>
      </w:r>
      <w:r w:rsidR="00B54119" w:rsidRPr="00BC5743">
        <w:rPr>
          <w:rFonts w:ascii="Arial" w:hAnsi="Arial" w:cs="Arial"/>
          <w:b/>
          <w:sz w:val="24"/>
          <w:szCs w:val="24"/>
        </w:rPr>
        <w:t xml:space="preserve">Certain </w:t>
      </w:r>
      <w:r w:rsidRPr="00BC5743">
        <w:rPr>
          <w:rFonts w:ascii="Arial" w:hAnsi="Arial" w:cs="Arial"/>
          <w:b/>
          <w:sz w:val="24"/>
          <w:szCs w:val="24"/>
        </w:rPr>
        <w:t>Development Proposals for or including Build-To-Rent Accommodation</w:t>
      </w:r>
    </w:p>
    <w:p w14:paraId="016C0D6D" w14:textId="3CC424C7" w:rsidR="00F92F84" w:rsidRPr="00BC5743" w:rsidRDefault="00800CBD" w:rsidP="00800CBD">
      <w:pPr>
        <w:jc w:val="both"/>
        <w:rPr>
          <w:rFonts w:ascii="Arial" w:hAnsi="Arial" w:cs="Arial"/>
          <w:b/>
          <w:sz w:val="24"/>
          <w:szCs w:val="24"/>
        </w:rPr>
      </w:pPr>
      <w:r w:rsidRPr="00BC5743">
        <w:rPr>
          <w:rFonts w:ascii="Arial" w:hAnsi="Arial" w:cs="Arial"/>
          <w:b/>
          <w:sz w:val="24"/>
          <w:szCs w:val="24"/>
        </w:rPr>
        <w:t>1.0</w:t>
      </w:r>
      <w:r w:rsidRPr="00BC5743">
        <w:rPr>
          <w:rFonts w:ascii="Arial" w:hAnsi="Arial" w:cs="Arial"/>
          <w:b/>
          <w:sz w:val="24"/>
          <w:szCs w:val="24"/>
        </w:rPr>
        <w:tab/>
      </w:r>
      <w:r w:rsidR="008C7BE4" w:rsidRPr="00BC5743">
        <w:rPr>
          <w:rFonts w:ascii="Arial" w:hAnsi="Arial" w:cs="Arial"/>
          <w:b/>
          <w:bCs/>
          <w:sz w:val="24"/>
          <w:szCs w:val="24"/>
        </w:rPr>
        <w:t>Sustainable Urban Housing: Design Standards for New Apartments – Guidelines for P</w:t>
      </w:r>
      <w:r w:rsidR="00D864D1" w:rsidRPr="00BC5743">
        <w:rPr>
          <w:rFonts w:ascii="Arial" w:hAnsi="Arial" w:cs="Arial"/>
          <w:b/>
          <w:bCs/>
          <w:sz w:val="24"/>
          <w:szCs w:val="24"/>
        </w:rPr>
        <w:t>lanning Authorities, DHLGH, 2023</w:t>
      </w:r>
    </w:p>
    <w:p w14:paraId="214DC0B7" w14:textId="3B8B0628" w:rsidR="008101F8" w:rsidRPr="00BC5743" w:rsidRDefault="00D646E4" w:rsidP="008101F8">
      <w:pPr>
        <w:jc w:val="both"/>
        <w:rPr>
          <w:rFonts w:ascii="Arial" w:hAnsi="Arial" w:cs="Arial"/>
          <w:bCs/>
          <w:sz w:val="24"/>
          <w:szCs w:val="24"/>
        </w:rPr>
      </w:pPr>
      <w:r w:rsidRPr="00BC5743">
        <w:rPr>
          <w:rFonts w:ascii="Arial" w:hAnsi="Arial" w:cs="Arial"/>
          <w:bCs/>
          <w:sz w:val="24"/>
          <w:szCs w:val="24"/>
        </w:rPr>
        <w:t>Build</w:t>
      </w:r>
      <w:r w:rsidR="008101F8" w:rsidRPr="00BC5743">
        <w:rPr>
          <w:rFonts w:ascii="Arial" w:hAnsi="Arial" w:cs="Arial"/>
          <w:bCs/>
          <w:sz w:val="24"/>
          <w:szCs w:val="24"/>
        </w:rPr>
        <w:t xml:space="preserve">-To-Rent (BTR) development was established as a separate class of development for planning purposes, arising from </w:t>
      </w:r>
      <w:r w:rsidR="008101F8" w:rsidRPr="00BC5743">
        <w:rPr>
          <w:rFonts w:ascii="Arial" w:hAnsi="Arial" w:cs="Arial"/>
          <w:bCs/>
          <w:i/>
          <w:sz w:val="24"/>
          <w:szCs w:val="24"/>
        </w:rPr>
        <w:t>Sustainable Urban Housing: Design Standards for New Apartments Guidelines for Planning Authorities</w:t>
      </w:r>
      <w:r w:rsidR="008101F8" w:rsidRPr="00BC5743">
        <w:rPr>
          <w:rFonts w:ascii="Arial" w:hAnsi="Arial" w:cs="Arial"/>
          <w:bCs/>
          <w:sz w:val="24"/>
          <w:szCs w:val="24"/>
        </w:rPr>
        <w:t xml:space="preserve">, as published in 2018 and updated in 2020.  </w:t>
      </w:r>
    </w:p>
    <w:p w14:paraId="40435B30" w14:textId="36809DBA" w:rsidR="00800CBD" w:rsidRPr="00BC5743" w:rsidRDefault="00800CBD" w:rsidP="00800CBD">
      <w:pPr>
        <w:jc w:val="both"/>
        <w:rPr>
          <w:rFonts w:ascii="Arial" w:hAnsi="Arial" w:cs="Arial"/>
          <w:bCs/>
          <w:sz w:val="24"/>
          <w:szCs w:val="24"/>
        </w:rPr>
      </w:pPr>
      <w:r w:rsidRPr="00BC5743">
        <w:rPr>
          <w:rFonts w:ascii="Arial" w:hAnsi="Arial" w:cs="Arial"/>
          <w:bCs/>
          <w:sz w:val="24"/>
          <w:szCs w:val="24"/>
        </w:rPr>
        <w:t>For the purposes of the planning system the Sustainable Urban Housing: Design Standards for New Apartments – Guidelines for P</w:t>
      </w:r>
      <w:r w:rsidR="00D864D1" w:rsidRPr="00BC5743">
        <w:rPr>
          <w:rFonts w:ascii="Arial" w:hAnsi="Arial" w:cs="Arial"/>
          <w:bCs/>
          <w:sz w:val="24"/>
          <w:szCs w:val="24"/>
        </w:rPr>
        <w:t>lanning Authorities, DHLGH, 2023</w:t>
      </w:r>
      <w:r w:rsidRPr="00BC5743">
        <w:rPr>
          <w:rFonts w:ascii="Arial" w:hAnsi="Arial" w:cs="Arial"/>
          <w:bCs/>
          <w:sz w:val="24"/>
          <w:szCs w:val="24"/>
        </w:rPr>
        <w:t xml:space="preserve"> no longer identify Build to Rent (BTR) accommodation as a specific housing typology which require specific guidance / design standards.</w:t>
      </w:r>
      <w:r w:rsidR="00884723" w:rsidRPr="00BC5743">
        <w:rPr>
          <w:rFonts w:ascii="Arial" w:hAnsi="Arial" w:cs="Arial"/>
          <w:bCs/>
          <w:sz w:val="24"/>
          <w:szCs w:val="24"/>
        </w:rPr>
        <w:t xml:space="preserve">  A technical update in relation to ‘Build-To-Rent’ (BTR) accommodation has been made to the development plan.  </w:t>
      </w:r>
    </w:p>
    <w:p w14:paraId="286BAFB2" w14:textId="284AD197" w:rsidR="00912571" w:rsidRPr="00BC5743" w:rsidRDefault="00912571" w:rsidP="00912571">
      <w:pPr>
        <w:rPr>
          <w:rFonts w:ascii="Arial" w:hAnsi="Arial" w:cs="Arial"/>
          <w:b/>
          <w:sz w:val="24"/>
          <w:szCs w:val="24"/>
        </w:rPr>
      </w:pPr>
      <w:r w:rsidRPr="00BC5743">
        <w:rPr>
          <w:rFonts w:ascii="Arial" w:hAnsi="Arial" w:cs="Arial"/>
          <w:b/>
          <w:sz w:val="24"/>
          <w:szCs w:val="24"/>
        </w:rPr>
        <w:t>2.0</w:t>
      </w:r>
      <w:r w:rsidRPr="00BC5743">
        <w:rPr>
          <w:rFonts w:ascii="Arial" w:hAnsi="Arial" w:cs="Arial"/>
          <w:b/>
          <w:sz w:val="24"/>
          <w:szCs w:val="24"/>
        </w:rPr>
        <w:tab/>
        <w:t>Transitional Arrangements</w:t>
      </w:r>
    </w:p>
    <w:p w14:paraId="3E7DC4F0" w14:textId="284CB582" w:rsidR="00D87E14" w:rsidRPr="00BC5743" w:rsidRDefault="00D87E14" w:rsidP="006C6F0B">
      <w:pPr>
        <w:rPr>
          <w:rFonts w:ascii="Arial" w:hAnsi="Arial" w:cs="Arial"/>
          <w:bCs/>
          <w:sz w:val="24"/>
          <w:szCs w:val="24"/>
        </w:rPr>
      </w:pPr>
      <w:r w:rsidRPr="00BC5743">
        <w:rPr>
          <w:rFonts w:ascii="Arial" w:hAnsi="Arial" w:cs="Arial"/>
          <w:bCs/>
          <w:sz w:val="24"/>
          <w:szCs w:val="24"/>
        </w:rPr>
        <w:t xml:space="preserve">In amending the apartment guidelines transitional arrangements </w:t>
      </w:r>
      <w:r w:rsidR="00884723" w:rsidRPr="00BC5743">
        <w:rPr>
          <w:rFonts w:ascii="Arial" w:hAnsi="Arial" w:cs="Arial"/>
          <w:bCs/>
          <w:sz w:val="24"/>
          <w:szCs w:val="24"/>
        </w:rPr>
        <w:t>were put</w:t>
      </w:r>
      <w:r w:rsidRPr="00BC5743">
        <w:rPr>
          <w:rFonts w:ascii="Arial" w:hAnsi="Arial" w:cs="Arial"/>
          <w:bCs/>
          <w:sz w:val="24"/>
          <w:szCs w:val="24"/>
        </w:rPr>
        <w:t xml:space="preserve"> in place to allow </w:t>
      </w:r>
      <w:r w:rsidR="00BB772A" w:rsidRPr="00BC5743">
        <w:rPr>
          <w:rFonts w:ascii="Arial" w:hAnsi="Arial" w:cs="Arial"/>
          <w:bCs/>
          <w:sz w:val="24"/>
          <w:szCs w:val="24"/>
        </w:rPr>
        <w:t xml:space="preserve">BTR proposals </w:t>
      </w:r>
      <w:r w:rsidRPr="00BC5743">
        <w:rPr>
          <w:rFonts w:ascii="Arial" w:hAnsi="Arial" w:cs="Arial"/>
          <w:bCs/>
          <w:sz w:val="24"/>
          <w:szCs w:val="24"/>
        </w:rPr>
        <w:t>at formal application</w:t>
      </w:r>
      <w:r w:rsidR="00BB772A" w:rsidRPr="00BC5743">
        <w:rPr>
          <w:rFonts w:ascii="Arial" w:hAnsi="Arial" w:cs="Arial"/>
          <w:bCs/>
          <w:sz w:val="24"/>
          <w:szCs w:val="24"/>
        </w:rPr>
        <w:t xml:space="preserve"> / appeal</w:t>
      </w:r>
      <w:r w:rsidRPr="00BC5743">
        <w:rPr>
          <w:rFonts w:ascii="Arial" w:hAnsi="Arial" w:cs="Arial"/>
          <w:bCs/>
          <w:sz w:val="24"/>
          <w:szCs w:val="24"/>
        </w:rPr>
        <w:t xml:space="preserve"> stage or at </w:t>
      </w:r>
      <w:r w:rsidR="00884723" w:rsidRPr="00BC5743">
        <w:rPr>
          <w:rFonts w:ascii="Arial" w:hAnsi="Arial" w:cs="Arial"/>
          <w:bCs/>
          <w:sz w:val="24"/>
          <w:szCs w:val="24"/>
        </w:rPr>
        <w:t xml:space="preserve">formal </w:t>
      </w:r>
      <w:r w:rsidRPr="00BC5743">
        <w:rPr>
          <w:rFonts w:ascii="Arial" w:hAnsi="Arial" w:cs="Arial"/>
          <w:bCs/>
          <w:sz w:val="24"/>
          <w:szCs w:val="24"/>
        </w:rPr>
        <w:t xml:space="preserve">pre-application stage on or </w:t>
      </w:r>
      <w:r w:rsidR="00B03775" w:rsidRPr="00BC5743">
        <w:rPr>
          <w:rFonts w:ascii="Arial" w:hAnsi="Arial" w:cs="Arial"/>
          <w:bCs/>
          <w:sz w:val="24"/>
          <w:szCs w:val="24"/>
        </w:rPr>
        <w:t>before</w:t>
      </w:r>
      <w:r w:rsidRPr="00BC5743">
        <w:rPr>
          <w:rFonts w:ascii="Arial" w:hAnsi="Arial" w:cs="Arial"/>
          <w:bCs/>
          <w:sz w:val="24"/>
          <w:szCs w:val="24"/>
        </w:rPr>
        <w:t xml:space="preserve"> 21</w:t>
      </w:r>
      <w:r w:rsidRPr="00BC5743">
        <w:rPr>
          <w:rFonts w:ascii="Arial" w:hAnsi="Arial" w:cs="Arial"/>
          <w:bCs/>
          <w:sz w:val="24"/>
          <w:szCs w:val="24"/>
          <w:vertAlign w:val="superscript"/>
        </w:rPr>
        <w:t>st</w:t>
      </w:r>
      <w:r w:rsidRPr="00BC5743">
        <w:rPr>
          <w:rFonts w:ascii="Arial" w:hAnsi="Arial" w:cs="Arial"/>
          <w:bCs/>
          <w:sz w:val="24"/>
          <w:szCs w:val="24"/>
        </w:rPr>
        <w:t xml:space="preserve"> December 2022 to be considered with reliance to the 2020 guidelines (see </w:t>
      </w:r>
      <w:r w:rsidR="00861495" w:rsidRPr="00BC5743">
        <w:rPr>
          <w:rFonts w:ascii="Arial" w:hAnsi="Arial" w:cs="Arial"/>
          <w:bCs/>
          <w:sz w:val="24"/>
          <w:szCs w:val="24"/>
        </w:rPr>
        <w:t>paragraphs</w:t>
      </w:r>
      <w:r w:rsidR="00D864D1" w:rsidRPr="00BC5743">
        <w:rPr>
          <w:rFonts w:ascii="Arial" w:hAnsi="Arial" w:cs="Arial"/>
          <w:bCs/>
          <w:sz w:val="24"/>
          <w:szCs w:val="24"/>
        </w:rPr>
        <w:t xml:space="preserve"> 5.10 and 5.11 of the 2023 guidelines).  </w:t>
      </w:r>
      <w:r w:rsidRPr="00BC5743">
        <w:rPr>
          <w:rFonts w:ascii="Arial" w:hAnsi="Arial" w:cs="Arial"/>
          <w:bCs/>
          <w:sz w:val="24"/>
          <w:szCs w:val="24"/>
        </w:rPr>
        <w:t xml:space="preserve">  </w:t>
      </w:r>
    </w:p>
    <w:p w14:paraId="4298F389" w14:textId="2445361D" w:rsidR="008B662E" w:rsidRPr="00BC5743" w:rsidRDefault="00D864D1" w:rsidP="008B662E">
      <w:pPr>
        <w:rPr>
          <w:rFonts w:ascii="Arial" w:hAnsi="Arial" w:cs="Arial"/>
          <w:sz w:val="24"/>
          <w:szCs w:val="24"/>
        </w:rPr>
      </w:pPr>
      <w:r w:rsidRPr="00BC5743">
        <w:rPr>
          <w:rFonts w:ascii="Arial" w:hAnsi="Arial" w:cs="Arial"/>
          <w:bCs/>
          <w:sz w:val="24"/>
          <w:szCs w:val="24"/>
        </w:rPr>
        <w:t>To comply with the 2023</w:t>
      </w:r>
      <w:r w:rsidR="008B662E" w:rsidRPr="00BC5743">
        <w:rPr>
          <w:rFonts w:ascii="Arial" w:hAnsi="Arial" w:cs="Arial"/>
          <w:bCs/>
          <w:sz w:val="24"/>
          <w:szCs w:val="24"/>
        </w:rPr>
        <w:t xml:space="preserve"> guidelines</w:t>
      </w:r>
      <w:r w:rsidR="00BB772A" w:rsidRPr="00BC5743">
        <w:rPr>
          <w:rFonts w:ascii="Arial" w:hAnsi="Arial" w:cs="Arial"/>
          <w:bCs/>
          <w:sz w:val="24"/>
          <w:szCs w:val="24"/>
        </w:rPr>
        <w:t>,</w:t>
      </w:r>
      <w:r w:rsidR="008B662E" w:rsidRPr="00BC5743">
        <w:rPr>
          <w:rFonts w:ascii="Arial" w:hAnsi="Arial" w:cs="Arial"/>
          <w:bCs/>
          <w:sz w:val="24"/>
          <w:szCs w:val="24"/>
        </w:rPr>
        <w:t xml:space="preserve"> </w:t>
      </w:r>
      <w:r w:rsidR="00891D10" w:rsidRPr="00BC5743">
        <w:rPr>
          <w:rFonts w:ascii="Arial" w:hAnsi="Arial" w:cs="Arial"/>
          <w:bCs/>
          <w:sz w:val="24"/>
          <w:szCs w:val="24"/>
        </w:rPr>
        <w:t xml:space="preserve">under these transitional arrangements </w:t>
      </w:r>
      <w:r w:rsidR="00B84374" w:rsidRPr="00BC5743">
        <w:rPr>
          <w:rFonts w:ascii="Arial" w:hAnsi="Arial" w:cs="Arial"/>
          <w:bCs/>
          <w:sz w:val="24"/>
          <w:szCs w:val="24"/>
        </w:rPr>
        <w:t xml:space="preserve">relevant </w:t>
      </w:r>
      <w:r w:rsidR="008B662E" w:rsidRPr="00BC5743">
        <w:rPr>
          <w:rFonts w:ascii="Arial" w:hAnsi="Arial" w:cs="Arial"/>
          <w:bCs/>
          <w:sz w:val="24"/>
          <w:szCs w:val="24"/>
        </w:rPr>
        <w:t xml:space="preserve">BTR proposals </w:t>
      </w:r>
      <w:r w:rsidR="008B662E" w:rsidRPr="00BC5743">
        <w:rPr>
          <w:rFonts w:ascii="Arial" w:hAnsi="Arial" w:cs="Arial"/>
          <w:sz w:val="24"/>
          <w:szCs w:val="24"/>
        </w:rPr>
        <w:t xml:space="preserve">will be considered and decided in accordance with </w:t>
      </w:r>
      <w:r w:rsidR="00B84374" w:rsidRPr="00BC5743">
        <w:rPr>
          <w:rFonts w:ascii="Arial" w:hAnsi="Arial" w:cs="Arial"/>
          <w:sz w:val="24"/>
          <w:szCs w:val="24"/>
        </w:rPr>
        <w:t xml:space="preserve">(1) </w:t>
      </w:r>
      <w:r w:rsidR="008B662E" w:rsidRPr="00BC5743">
        <w:rPr>
          <w:rFonts w:ascii="Arial" w:hAnsi="Arial" w:cs="Arial"/>
          <w:sz w:val="24"/>
          <w:szCs w:val="24"/>
        </w:rPr>
        <w:t>the 2020 Guid</w:t>
      </w:r>
      <w:r w:rsidR="00891D10" w:rsidRPr="00BC5743">
        <w:rPr>
          <w:rFonts w:ascii="Arial" w:hAnsi="Arial" w:cs="Arial"/>
          <w:sz w:val="24"/>
          <w:szCs w:val="24"/>
        </w:rPr>
        <w:t>elines</w:t>
      </w:r>
      <w:r w:rsidR="008B662E" w:rsidRPr="00BC5743">
        <w:rPr>
          <w:rFonts w:ascii="Arial" w:hAnsi="Arial" w:cs="Arial"/>
          <w:sz w:val="24"/>
          <w:szCs w:val="24"/>
        </w:rPr>
        <w:t xml:space="preserve"> and</w:t>
      </w:r>
      <w:r w:rsidR="00B84374" w:rsidRPr="00BC5743">
        <w:rPr>
          <w:rFonts w:ascii="Arial" w:hAnsi="Arial" w:cs="Arial"/>
          <w:sz w:val="24"/>
          <w:szCs w:val="24"/>
        </w:rPr>
        <w:t xml:space="preserve">, (2) </w:t>
      </w:r>
      <w:r w:rsidR="008B662E" w:rsidRPr="00BC5743">
        <w:rPr>
          <w:rFonts w:ascii="Arial" w:hAnsi="Arial" w:cs="Arial"/>
          <w:sz w:val="24"/>
          <w:szCs w:val="24"/>
        </w:rPr>
        <w:t xml:space="preserve"> the interim </w:t>
      </w:r>
      <w:r w:rsidR="00CF2C9A" w:rsidRPr="00BC5743">
        <w:rPr>
          <w:rFonts w:ascii="Arial" w:hAnsi="Arial" w:cs="Arial"/>
          <w:sz w:val="24"/>
          <w:szCs w:val="24"/>
        </w:rPr>
        <w:t xml:space="preserve">development plan </w:t>
      </w:r>
      <w:r w:rsidR="008B662E" w:rsidRPr="00BC5743">
        <w:rPr>
          <w:rFonts w:ascii="Arial" w:hAnsi="Arial" w:cs="Arial"/>
          <w:sz w:val="24"/>
          <w:szCs w:val="24"/>
        </w:rPr>
        <w:t>BTR policies, objectives and standards as set out below.</w:t>
      </w:r>
    </w:p>
    <w:p w14:paraId="35A8CB1E" w14:textId="51ABF1B5" w:rsidR="008B662E" w:rsidRPr="00BC5743" w:rsidRDefault="008B662E" w:rsidP="006C6F0B">
      <w:pPr>
        <w:rPr>
          <w:rFonts w:ascii="Arial" w:hAnsi="Arial" w:cs="Arial"/>
          <w:sz w:val="24"/>
          <w:szCs w:val="24"/>
        </w:rPr>
      </w:pPr>
      <w:r w:rsidRPr="00BC5743">
        <w:rPr>
          <w:rFonts w:ascii="Arial" w:hAnsi="Arial" w:cs="Arial"/>
          <w:sz w:val="24"/>
          <w:szCs w:val="24"/>
        </w:rPr>
        <w:t xml:space="preserve">A reference to </w:t>
      </w:r>
      <w:r w:rsidR="00A4138D" w:rsidRPr="00BC5743">
        <w:rPr>
          <w:rFonts w:ascii="Arial" w:hAnsi="Arial" w:cs="Arial"/>
          <w:sz w:val="24"/>
          <w:szCs w:val="24"/>
        </w:rPr>
        <w:t xml:space="preserve">proposed </w:t>
      </w:r>
      <w:r w:rsidRPr="00BC5743">
        <w:rPr>
          <w:rFonts w:ascii="Arial" w:hAnsi="Arial" w:cs="Arial"/>
          <w:sz w:val="24"/>
          <w:szCs w:val="24"/>
        </w:rPr>
        <w:t xml:space="preserve">Build-To-Rent accommodation below </w:t>
      </w:r>
      <w:r w:rsidR="00B84374" w:rsidRPr="00BC5743">
        <w:rPr>
          <w:rFonts w:ascii="Arial" w:hAnsi="Arial" w:cs="Arial"/>
          <w:sz w:val="24"/>
          <w:szCs w:val="24"/>
        </w:rPr>
        <w:t>in sub sections 3.1 – 3.3</w:t>
      </w:r>
      <w:r w:rsidR="00696251" w:rsidRPr="00BC5743">
        <w:rPr>
          <w:rFonts w:ascii="Arial" w:hAnsi="Arial" w:cs="Arial"/>
          <w:sz w:val="24"/>
          <w:szCs w:val="24"/>
        </w:rPr>
        <w:t xml:space="preserve"> </w:t>
      </w:r>
      <w:r w:rsidRPr="00BC5743">
        <w:rPr>
          <w:rFonts w:ascii="Arial" w:hAnsi="Arial" w:cs="Arial"/>
          <w:sz w:val="24"/>
          <w:szCs w:val="24"/>
        </w:rPr>
        <w:t xml:space="preserve">is a reference to </w:t>
      </w:r>
      <w:r w:rsidR="00A4138D" w:rsidRPr="00BC5743">
        <w:rPr>
          <w:rFonts w:ascii="Arial" w:hAnsi="Arial" w:cs="Arial"/>
          <w:bCs/>
          <w:sz w:val="24"/>
          <w:szCs w:val="24"/>
        </w:rPr>
        <w:t>BTR pr</w:t>
      </w:r>
      <w:r w:rsidR="00B03775" w:rsidRPr="00BC5743">
        <w:rPr>
          <w:rFonts w:ascii="Arial" w:hAnsi="Arial" w:cs="Arial"/>
          <w:bCs/>
          <w:sz w:val="24"/>
          <w:szCs w:val="24"/>
        </w:rPr>
        <w:t xml:space="preserve">oposals </w:t>
      </w:r>
      <w:r w:rsidR="00A51A74" w:rsidRPr="00BC5743">
        <w:rPr>
          <w:rFonts w:ascii="Arial" w:hAnsi="Arial" w:cs="Arial"/>
          <w:bCs/>
          <w:sz w:val="24"/>
          <w:szCs w:val="24"/>
        </w:rPr>
        <w:t>as per paragraph</w:t>
      </w:r>
      <w:r w:rsidR="00CF2C9A" w:rsidRPr="00BC5743">
        <w:rPr>
          <w:rFonts w:ascii="Arial" w:hAnsi="Arial" w:cs="Arial"/>
          <w:bCs/>
          <w:sz w:val="24"/>
          <w:szCs w:val="24"/>
        </w:rPr>
        <w:t xml:space="preserve">s 5.10 </w:t>
      </w:r>
      <w:r w:rsidR="00B84374" w:rsidRPr="00BC5743">
        <w:rPr>
          <w:rFonts w:ascii="Arial" w:hAnsi="Arial" w:cs="Arial"/>
          <w:bCs/>
          <w:sz w:val="24"/>
          <w:szCs w:val="24"/>
        </w:rPr>
        <w:t xml:space="preserve">and 5.11 of the 2023 guidelines.  </w:t>
      </w:r>
      <w:r w:rsidR="00152D3C" w:rsidRPr="00BC5743">
        <w:rPr>
          <w:rFonts w:ascii="Arial" w:hAnsi="Arial" w:cs="Arial"/>
          <w:sz w:val="24"/>
          <w:szCs w:val="24"/>
        </w:rPr>
        <w:t>New</w:t>
      </w:r>
      <w:r w:rsidR="0073310A" w:rsidRPr="00BC5743">
        <w:rPr>
          <w:rFonts w:ascii="Arial" w:hAnsi="Arial" w:cs="Arial"/>
          <w:sz w:val="24"/>
          <w:szCs w:val="24"/>
        </w:rPr>
        <w:t xml:space="preserve"> </w:t>
      </w:r>
      <w:r w:rsidR="003D2E73" w:rsidRPr="00BC5743">
        <w:rPr>
          <w:rFonts w:ascii="Arial" w:hAnsi="Arial" w:cs="Arial"/>
          <w:sz w:val="24"/>
          <w:szCs w:val="24"/>
        </w:rPr>
        <w:t>BTR accommodatio</w:t>
      </w:r>
      <w:r w:rsidR="00B84374" w:rsidRPr="00BC5743">
        <w:rPr>
          <w:rFonts w:ascii="Arial" w:hAnsi="Arial" w:cs="Arial"/>
          <w:sz w:val="24"/>
          <w:szCs w:val="24"/>
        </w:rPr>
        <w:t xml:space="preserve">n </w:t>
      </w:r>
      <w:r w:rsidR="001760A0" w:rsidRPr="00BC5743">
        <w:rPr>
          <w:rFonts w:ascii="Arial" w:hAnsi="Arial" w:cs="Arial"/>
          <w:sz w:val="24"/>
          <w:szCs w:val="24"/>
        </w:rPr>
        <w:t xml:space="preserve">development </w:t>
      </w:r>
      <w:r w:rsidR="00B84374" w:rsidRPr="00BC5743">
        <w:rPr>
          <w:rFonts w:ascii="Arial" w:hAnsi="Arial" w:cs="Arial"/>
          <w:sz w:val="24"/>
          <w:szCs w:val="24"/>
        </w:rPr>
        <w:t xml:space="preserve">proposals made after this </w:t>
      </w:r>
      <w:r w:rsidR="001760A0" w:rsidRPr="00BC5743">
        <w:rPr>
          <w:rFonts w:ascii="Arial" w:hAnsi="Arial" w:cs="Arial"/>
          <w:sz w:val="24"/>
          <w:szCs w:val="24"/>
        </w:rPr>
        <w:t>date</w:t>
      </w:r>
      <w:r w:rsidR="003D2E73" w:rsidRPr="00BC5743">
        <w:rPr>
          <w:rFonts w:ascii="Arial" w:hAnsi="Arial" w:cs="Arial"/>
          <w:sz w:val="24"/>
          <w:szCs w:val="24"/>
        </w:rPr>
        <w:t xml:space="preserve"> will </w:t>
      </w:r>
      <w:r w:rsidR="00696251" w:rsidRPr="00BC5743">
        <w:rPr>
          <w:rFonts w:ascii="Arial" w:hAnsi="Arial" w:cs="Arial"/>
          <w:sz w:val="24"/>
          <w:szCs w:val="24"/>
        </w:rPr>
        <w:t xml:space="preserve">not be assessed under </w:t>
      </w:r>
      <w:r w:rsidR="00B84374" w:rsidRPr="00BC5743">
        <w:rPr>
          <w:rFonts w:ascii="Arial" w:hAnsi="Arial" w:cs="Arial"/>
          <w:sz w:val="24"/>
          <w:szCs w:val="24"/>
        </w:rPr>
        <w:t xml:space="preserve">the 2020 Guidelines or </w:t>
      </w:r>
      <w:r w:rsidR="00696251" w:rsidRPr="00BC5743">
        <w:rPr>
          <w:rFonts w:ascii="Arial" w:hAnsi="Arial" w:cs="Arial"/>
          <w:sz w:val="24"/>
          <w:szCs w:val="24"/>
        </w:rPr>
        <w:t xml:space="preserve">these interim development plan policies, objectives and standards.  </w:t>
      </w:r>
      <w:r w:rsidR="003D2E73" w:rsidRPr="00BC5743">
        <w:rPr>
          <w:rFonts w:ascii="Arial" w:hAnsi="Arial" w:cs="Arial"/>
          <w:sz w:val="24"/>
          <w:szCs w:val="24"/>
        </w:rPr>
        <w:t xml:space="preserve"> </w:t>
      </w:r>
    </w:p>
    <w:p w14:paraId="31734494" w14:textId="77777777" w:rsidR="00A4138D" w:rsidRPr="00BC5743" w:rsidRDefault="00A4138D" w:rsidP="006C6F0B">
      <w:pPr>
        <w:rPr>
          <w:rFonts w:ascii="Arial" w:hAnsi="Arial" w:cs="Arial"/>
          <w:sz w:val="24"/>
          <w:szCs w:val="24"/>
        </w:rPr>
      </w:pPr>
    </w:p>
    <w:p w14:paraId="4A9CAC30" w14:textId="2D3454FD" w:rsidR="002C1CDE" w:rsidRPr="00BC5743" w:rsidRDefault="002C1CDE" w:rsidP="00800CBD">
      <w:pPr>
        <w:rPr>
          <w:rFonts w:ascii="Arial" w:hAnsi="Arial" w:cs="Arial"/>
          <w:b/>
          <w:sz w:val="24"/>
          <w:szCs w:val="24"/>
        </w:rPr>
      </w:pPr>
      <w:r w:rsidRPr="00BC5743">
        <w:rPr>
          <w:rFonts w:ascii="Arial" w:hAnsi="Arial" w:cs="Arial"/>
          <w:b/>
          <w:sz w:val="24"/>
          <w:szCs w:val="24"/>
        </w:rPr>
        <w:t>3.0</w:t>
      </w:r>
      <w:r w:rsidRPr="00BC5743">
        <w:rPr>
          <w:rFonts w:ascii="Arial" w:hAnsi="Arial" w:cs="Arial"/>
          <w:b/>
          <w:sz w:val="24"/>
          <w:szCs w:val="24"/>
        </w:rPr>
        <w:tab/>
        <w:t>Build-To-Rent Accommodation</w:t>
      </w:r>
    </w:p>
    <w:p w14:paraId="0C6EFC65" w14:textId="0522AD68" w:rsidR="002C1CDE" w:rsidRPr="00BC5743" w:rsidRDefault="002C1CDE" w:rsidP="002C1CDE">
      <w:pPr>
        <w:pStyle w:val="Default"/>
        <w:rPr>
          <w:rFonts w:ascii="Arial" w:hAnsi="Arial" w:cs="Arial"/>
          <w:b/>
          <w:color w:val="auto"/>
        </w:rPr>
      </w:pPr>
      <w:r w:rsidRPr="00BC5743">
        <w:rPr>
          <w:rFonts w:ascii="Arial" w:hAnsi="Arial" w:cs="Arial"/>
          <w:b/>
          <w:color w:val="auto"/>
        </w:rPr>
        <w:t>3.1</w:t>
      </w:r>
      <w:r w:rsidRPr="00BC5743">
        <w:rPr>
          <w:rFonts w:ascii="Arial" w:hAnsi="Arial" w:cs="Arial"/>
          <w:b/>
          <w:color w:val="auto"/>
        </w:rPr>
        <w:tab/>
        <w:t xml:space="preserve">Specific Housing Typologies - Build to Rent (BTR) Accommodation </w:t>
      </w:r>
    </w:p>
    <w:p w14:paraId="7461A100" w14:textId="6B761EEC" w:rsidR="002C1CDE" w:rsidRPr="00BC5743" w:rsidRDefault="002C1CDE" w:rsidP="00FE0594">
      <w:pPr>
        <w:rPr>
          <w:rFonts w:ascii="Arial" w:hAnsi="Arial" w:cs="Arial"/>
          <w:sz w:val="24"/>
          <w:szCs w:val="24"/>
        </w:rPr>
      </w:pPr>
    </w:p>
    <w:p w14:paraId="75969E70" w14:textId="3D2CBB3A" w:rsidR="00FE0594" w:rsidRPr="00BC5743" w:rsidRDefault="00FE0594" w:rsidP="00FE0594">
      <w:pPr>
        <w:rPr>
          <w:rFonts w:ascii="Arial" w:hAnsi="Arial" w:cs="Arial"/>
          <w:sz w:val="24"/>
          <w:szCs w:val="24"/>
        </w:rPr>
      </w:pPr>
      <w:r w:rsidRPr="00BC5743">
        <w:rPr>
          <w:rFonts w:ascii="Arial" w:hAnsi="Arial" w:cs="Arial"/>
          <w:sz w:val="24"/>
          <w:szCs w:val="24"/>
        </w:rPr>
        <w:lastRenderedPageBreak/>
        <w:t xml:space="preserve">BTR </w:t>
      </w:r>
      <w:r w:rsidR="008B662E" w:rsidRPr="00BC5743">
        <w:rPr>
          <w:rFonts w:ascii="Arial" w:hAnsi="Arial" w:cs="Arial"/>
          <w:sz w:val="24"/>
          <w:szCs w:val="24"/>
        </w:rPr>
        <w:t xml:space="preserve">accommodation shall only </w:t>
      </w:r>
      <w:r w:rsidRPr="00BC5743">
        <w:rPr>
          <w:rFonts w:ascii="Arial" w:hAnsi="Arial" w:cs="Arial"/>
          <w:sz w:val="24"/>
          <w:szCs w:val="24"/>
        </w:rPr>
        <w:t xml:space="preserve">be concentrated in significant employment locations, within 500m of major public transport interchanges and within identified Strategic Development Regeneration Areas. </w:t>
      </w:r>
    </w:p>
    <w:p w14:paraId="2E491D35" w14:textId="15BFD8F6" w:rsidR="00FE0594" w:rsidRPr="00BC5743" w:rsidRDefault="00FE0594" w:rsidP="00FE0594">
      <w:pPr>
        <w:rPr>
          <w:rFonts w:ascii="Arial" w:hAnsi="Arial" w:cs="Arial"/>
          <w:sz w:val="24"/>
          <w:szCs w:val="24"/>
        </w:rPr>
      </w:pPr>
      <w:r w:rsidRPr="00BC5743">
        <w:rPr>
          <w:rFonts w:ascii="Arial" w:hAnsi="Arial" w:cs="Arial"/>
          <w:sz w:val="24"/>
          <w:szCs w:val="24"/>
        </w:rPr>
        <w:t>Furthermore, applic</w:t>
      </w:r>
      <w:r w:rsidR="008B662E" w:rsidRPr="00BC5743">
        <w:rPr>
          <w:rFonts w:ascii="Arial" w:hAnsi="Arial" w:cs="Arial"/>
          <w:sz w:val="24"/>
          <w:szCs w:val="24"/>
        </w:rPr>
        <w:t>ations for BTR schemes are</w:t>
      </w:r>
      <w:r w:rsidRPr="00BC5743">
        <w:rPr>
          <w:rFonts w:ascii="Arial" w:hAnsi="Arial" w:cs="Arial"/>
          <w:sz w:val="24"/>
          <w:szCs w:val="24"/>
        </w:rPr>
        <w:t xml:space="preserve"> required to demonstrate how the development supports housing need, particularly with regard to tenure, unit size and accessibility with particular reference to the Dublin City Council Housing Need and Demand Assessment and that there is not an over-concentration of Build to Rent Accommodation within an area, including a map showing all such facilities within a 1km radius of</w:t>
      </w:r>
      <w:r w:rsidRPr="00BC5743">
        <w:rPr>
          <w:rFonts w:ascii="Arial" w:eastAsia="Arial" w:hAnsi="Arial" w:cs="Arial"/>
          <w:sz w:val="24"/>
          <w:szCs w:val="24"/>
        </w:rPr>
        <w:t xml:space="preserve"> a proposal. </w:t>
      </w:r>
      <w:r w:rsidRPr="00BC5743">
        <w:rPr>
          <w:rFonts w:ascii="Arial" w:hAnsi="Arial" w:cs="Arial"/>
          <w:sz w:val="24"/>
          <w:szCs w:val="24"/>
        </w:rPr>
        <w:t>Such housing will be controlled in the interest of providing a mix of tenure and unit types. In assessing the matter of overconcentration, the Planning authority will have regard to factors such as:</w:t>
      </w:r>
    </w:p>
    <w:p w14:paraId="45F25119" w14:textId="77777777" w:rsidR="00FE0594" w:rsidRPr="00BC5743" w:rsidRDefault="00FE0594" w:rsidP="00FE0594">
      <w:pPr>
        <w:pStyle w:val="Default"/>
        <w:widowControl/>
        <w:numPr>
          <w:ilvl w:val="0"/>
          <w:numId w:val="2"/>
        </w:numPr>
        <w:spacing w:after="200" w:line="276" w:lineRule="auto"/>
        <w:ind w:left="851" w:hanging="425"/>
        <w:rPr>
          <w:rFonts w:ascii="Arial" w:hAnsi="Arial" w:cs="Arial"/>
          <w:color w:val="auto"/>
        </w:rPr>
      </w:pPr>
      <w:r w:rsidRPr="00BC5743">
        <w:rPr>
          <w:rFonts w:ascii="Arial" w:hAnsi="Arial" w:cs="Arial"/>
          <w:color w:val="auto"/>
        </w:rPr>
        <w:t xml:space="preserve">the number and scale of other permitted and proposed BTR development in the vicinity (within a 1km radius) of the site, </w:t>
      </w:r>
    </w:p>
    <w:p w14:paraId="7C1DF38F" w14:textId="77777777" w:rsidR="00FE0594" w:rsidRPr="00BC5743" w:rsidRDefault="00FE0594" w:rsidP="00FE0594">
      <w:pPr>
        <w:pStyle w:val="Default"/>
        <w:widowControl/>
        <w:numPr>
          <w:ilvl w:val="0"/>
          <w:numId w:val="2"/>
        </w:numPr>
        <w:spacing w:after="200" w:line="276" w:lineRule="auto"/>
        <w:ind w:left="851" w:hanging="425"/>
        <w:rPr>
          <w:rFonts w:ascii="Arial" w:hAnsi="Arial" w:cs="Arial"/>
          <w:color w:val="auto"/>
        </w:rPr>
      </w:pPr>
      <w:r w:rsidRPr="00BC5743">
        <w:rPr>
          <w:rFonts w:ascii="Arial" w:hAnsi="Arial" w:cs="Arial"/>
          <w:color w:val="auto"/>
        </w:rPr>
        <w:t xml:space="preserve">the household tenure and housing type of existing housing stock in the approximate vicinity (within a 1km radius) of the site, </w:t>
      </w:r>
    </w:p>
    <w:p w14:paraId="2415C018" w14:textId="77777777" w:rsidR="00FE0594" w:rsidRPr="00BC5743" w:rsidRDefault="00FE0594" w:rsidP="00FE0594">
      <w:pPr>
        <w:pStyle w:val="Default"/>
        <w:widowControl/>
        <w:numPr>
          <w:ilvl w:val="0"/>
          <w:numId w:val="2"/>
        </w:numPr>
        <w:spacing w:after="200" w:line="276" w:lineRule="auto"/>
        <w:ind w:left="851" w:hanging="425"/>
        <w:rPr>
          <w:rFonts w:ascii="Arial" w:hAnsi="Arial" w:cs="Arial"/>
          <w:color w:val="auto"/>
        </w:rPr>
      </w:pPr>
      <w:proofErr w:type="gramStart"/>
      <w:r w:rsidRPr="00BC5743">
        <w:rPr>
          <w:rFonts w:ascii="Arial" w:hAnsi="Arial" w:cs="Arial"/>
          <w:color w:val="auto"/>
        </w:rPr>
        <w:t>and</w:t>
      </w:r>
      <w:proofErr w:type="gramEnd"/>
      <w:r w:rsidRPr="00BC5743">
        <w:rPr>
          <w:rFonts w:ascii="Arial" w:hAnsi="Arial" w:cs="Arial"/>
          <w:color w:val="auto"/>
        </w:rPr>
        <w:t xml:space="preserve"> the proximity of the proposal to high capacity urban public transport stops and interchange (such as DART, Luas and </w:t>
      </w:r>
      <w:proofErr w:type="spellStart"/>
      <w:r w:rsidRPr="00BC5743">
        <w:rPr>
          <w:rFonts w:ascii="Arial" w:hAnsi="Arial" w:cs="Arial"/>
          <w:color w:val="auto"/>
        </w:rPr>
        <w:t>BusConnects</w:t>
      </w:r>
      <w:proofErr w:type="spellEnd"/>
      <w:r w:rsidRPr="00BC5743">
        <w:rPr>
          <w:rFonts w:ascii="Arial" w:hAnsi="Arial" w:cs="Arial"/>
          <w:color w:val="auto"/>
        </w:rPr>
        <w:t xml:space="preserve">). </w:t>
      </w:r>
    </w:p>
    <w:p w14:paraId="71771808" w14:textId="50DD46A0" w:rsidR="00FE0594" w:rsidRPr="00BC5743" w:rsidRDefault="00FE0594" w:rsidP="00FE0594">
      <w:pPr>
        <w:rPr>
          <w:rFonts w:ascii="Arial" w:eastAsiaTheme="minorHAnsi" w:hAnsi="Arial" w:cs="Arial"/>
          <w:sz w:val="24"/>
          <w:szCs w:val="24"/>
        </w:rPr>
      </w:pPr>
      <w:r w:rsidRPr="00BC5743">
        <w:rPr>
          <w:rFonts w:ascii="Arial" w:hAnsi="Arial" w:cs="Arial"/>
          <w:sz w:val="24"/>
          <w:szCs w:val="24"/>
        </w:rPr>
        <w:t>There will be a general presumption against large scale residential developments (in excess of 100 units) which comprise of 100% BTR typology. To ensure a sustainable mix of tenure and long term sustainable communities, a minimum of 60% of standard designed apartments will be required in such instances. BTR schemes</w:t>
      </w:r>
      <w:r w:rsidRPr="00BC5743">
        <w:rPr>
          <w:rFonts w:ascii="Arial" w:eastAsiaTheme="minorHAnsi" w:hAnsi="Arial" w:cs="Arial"/>
          <w:sz w:val="24"/>
          <w:szCs w:val="24"/>
        </w:rPr>
        <w:t xml:space="preserve"> of less than 100 units will generally not be</w:t>
      </w:r>
      <w:r w:rsidR="00D646E4" w:rsidRPr="00BC5743">
        <w:rPr>
          <w:rFonts w:ascii="Arial" w:eastAsiaTheme="minorHAnsi" w:hAnsi="Arial" w:cs="Arial"/>
          <w:sz w:val="24"/>
          <w:szCs w:val="24"/>
        </w:rPr>
        <w:t xml:space="preserve"> supported. The concept of Build</w:t>
      </w:r>
      <w:r w:rsidRPr="00BC5743">
        <w:rPr>
          <w:rFonts w:ascii="Arial" w:eastAsiaTheme="minorHAnsi" w:hAnsi="Arial" w:cs="Arial"/>
          <w:sz w:val="24"/>
          <w:szCs w:val="24"/>
        </w:rPr>
        <w:t xml:space="preserve"> to Rent requires a critical mass of accommodation to provide a meaningful provision of communal facilities and services. Smaller BTR schemes with less than 100 units will only be considered where it can be demonstrated that there is a strong need for the development and a detailed justification is provided. </w:t>
      </w:r>
    </w:p>
    <w:p w14:paraId="00E1D768" w14:textId="11F51E55" w:rsidR="00FE0594" w:rsidRPr="00BC5743" w:rsidRDefault="00FE0594" w:rsidP="00FE0594">
      <w:pPr>
        <w:rPr>
          <w:rFonts w:ascii="Arial" w:hAnsi="Arial" w:cs="Arial"/>
          <w:sz w:val="24"/>
          <w:szCs w:val="24"/>
        </w:rPr>
      </w:pPr>
    </w:p>
    <w:tbl>
      <w:tblPr>
        <w:tblStyle w:val="GridTable5Dark-Accent112"/>
        <w:tblW w:w="0" w:type="auto"/>
        <w:tblLook w:val="04A0" w:firstRow="1" w:lastRow="0" w:firstColumn="1" w:lastColumn="0" w:noHBand="0" w:noVBand="1"/>
      </w:tblPr>
      <w:tblGrid>
        <w:gridCol w:w="1470"/>
        <w:gridCol w:w="7546"/>
      </w:tblGrid>
      <w:tr w:rsidR="00BC5743" w:rsidRPr="00BC5743" w14:paraId="7D57089D" w14:textId="77777777" w:rsidTr="00FE059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31164DB" w14:textId="77777777" w:rsidR="00FE0594" w:rsidRPr="00BC5743" w:rsidRDefault="00FE0594" w:rsidP="00FE0594">
            <w:pPr>
              <w:keepNext/>
              <w:spacing w:after="100"/>
              <w:rPr>
                <w:rFonts w:ascii="Arial" w:hAnsi="Arial" w:cs="Arial"/>
                <w:color w:val="auto"/>
                <w:sz w:val="24"/>
                <w:szCs w:val="24"/>
              </w:rPr>
            </w:pPr>
            <w:r w:rsidRPr="00BC5743">
              <w:rPr>
                <w:rFonts w:ascii="Arial" w:hAnsi="Arial" w:cs="Arial"/>
                <w:color w:val="auto"/>
                <w:sz w:val="24"/>
                <w:szCs w:val="24"/>
              </w:rPr>
              <w:lastRenderedPageBreak/>
              <w:t>It is the Policy of Dublin City Council:</w:t>
            </w:r>
          </w:p>
        </w:tc>
      </w:tr>
      <w:tr w:rsidR="00BC5743" w:rsidRPr="00BC5743" w14:paraId="4C0E87F5" w14:textId="77777777" w:rsidTr="00E51C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0EF2595D" w14:textId="65CFC0A8" w:rsidR="00FE0594" w:rsidRPr="00BC5743" w:rsidRDefault="00FE0594" w:rsidP="00FE0594">
            <w:pPr>
              <w:spacing w:after="100"/>
              <w:rPr>
                <w:rFonts w:ascii="Arial" w:hAnsi="Arial" w:cs="Arial"/>
                <w:color w:val="auto"/>
                <w:sz w:val="24"/>
                <w:szCs w:val="24"/>
              </w:rPr>
            </w:pPr>
            <w:r w:rsidRPr="00BC5743">
              <w:rPr>
                <w:rFonts w:ascii="Arial" w:hAnsi="Arial" w:cs="Arial"/>
                <w:color w:val="auto"/>
                <w:sz w:val="24"/>
                <w:szCs w:val="24"/>
              </w:rPr>
              <w:t>QHSN40</w:t>
            </w:r>
            <w:r w:rsidR="00933ED0" w:rsidRPr="00BC5743">
              <w:rPr>
                <w:rFonts w:ascii="Arial" w:hAnsi="Arial" w:cs="Arial"/>
                <w:color w:val="auto"/>
                <w:sz w:val="24"/>
                <w:szCs w:val="24"/>
              </w:rPr>
              <w:t>(a)</w:t>
            </w:r>
          </w:p>
        </w:tc>
        <w:tc>
          <w:tcPr>
            <w:tcW w:w="7839" w:type="dxa"/>
            <w:vAlign w:val="center"/>
          </w:tcPr>
          <w:p w14:paraId="025AEEAD" w14:textId="77777777" w:rsidR="00FE0594" w:rsidRPr="00BC5743" w:rsidRDefault="00FE0594"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BC5743">
              <w:rPr>
                <w:rFonts w:ascii="Arial" w:hAnsi="Arial" w:cs="Arial"/>
                <w:b/>
                <w:sz w:val="24"/>
                <w:szCs w:val="24"/>
              </w:rPr>
              <w:t>Build to Rent Accommodation</w:t>
            </w:r>
          </w:p>
          <w:p w14:paraId="75830490" w14:textId="4D297D8A" w:rsidR="00FE0594" w:rsidRPr="00BC5743" w:rsidRDefault="00FE0594"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To facilitate the pr</w:t>
            </w:r>
            <w:r w:rsidR="00DB18A1" w:rsidRPr="00BC5743">
              <w:rPr>
                <w:rFonts w:ascii="Arial" w:hAnsi="Arial" w:cs="Arial"/>
                <w:sz w:val="24"/>
                <w:szCs w:val="24"/>
              </w:rPr>
              <w:t>ovision of Build to Rent (BTR) development</w:t>
            </w:r>
            <w:r w:rsidRPr="00BC5743">
              <w:rPr>
                <w:rFonts w:ascii="Arial" w:hAnsi="Arial" w:cs="Arial"/>
                <w:sz w:val="24"/>
                <w:szCs w:val="24"/>
              </w:rPr>
              <w:t xml:space="preserve"> </w:t>
            </w:r>
            <w:r w:rsidR="00BD3F17" w:rsidRPr="00BC5743">
              <w:rPr>
                <w:rFonts w:ascii="Arial" w:hAnsi="Arial" w:cs="Arial"/>
                <w:bCs/>
                <w:sz w:val="24"/>
                <w:szCs w:val="24"/>
              </w:rPr>
              <w:t xml:space="preserve">proposals </w:t>
            </w:r>
            <w:r w:rsidR="00242D46" w:rsidRPr="00BC5743">
              <w:rPr>
                <w:rFonts w:ascii="Arial" w:hAnsi="Arial" w:cs="Arial"/>
                <w:bCs/>
                <w:sz w:val="24"/>
                <w:szCs w:val="24"/>
              </w:rPr>
              <w:t>which, on or before 21</w:t>
            </w:r>
            <w:r w:rsidR="00242D46" w:rsidRPr="00BC5743">
              <w:rPr>
                <w:rFonts w:ascii="Arial" w:hAnsi="Arial" w:cs="Arial"/>
                <w:bCs/>
                <w:sz w:val="24"/>
                <w:szCs w:val="24"/>
                <w:vertAlign w:val="superscript"/>
              </w:rPr>
              <w:t>st</w:t>
            </w:r>
            <w:r w:rsidR="00242D46" w:rsidRPr="00BC5743">
              <w:rPr>
                <w:rFonts w:ascii="Arial" w:hAnsi="Arial" w:cs="Arial"/>
                <w:bCs/>
                <w:sz w:val="24"/>
                <w:szCs w:val="24"/>
              </w:rPr>
              <w:t xml:space="preserve"> December 2022, were </w:t>
            </w:r>
            <w:r w:rsidR="00BD3F17" w:rsidRPr="00BC5743">
              <w:rPr>
                <w:rFonts w:ascii="Arial" w:hAnsi="Arial" w:cs="Arial"/>
                <w:bCs/>
                <w:sz w:val="24"/>
                <w:szCs w:val="24"/>
              </w:rPr>
              <w:t xml:space="preserve">at formal application / appeal stage or at formal pre-application stage </w:t>
            </w:r>
            <w:r w:rsidR="00DB18A1" w:rsidRPr="00BC5743">
              <w:rPr>
                <w:rFonts w:ascii="Arial" w:hAnsi="Arial" w:cs="Arial"/>
                <w:bCs/>
                <w:sz w:val="24"/>
                <w:szCs w:val="24"/>
              </w:rPr>
              <w:t>(as per paragraphs</w:t>
            </w:r>
            <w:r w:rsidR="00BD3F17" w:rsidRPr="00BC5743">
              <w:rPr>
                <w:rFonts w:ascii="Arial" w:hAnsi="Arial" w:cs="Arial"/>
                <w:bCs/>
                <w:sz w:val="24"/>
                <w:szCs w:val="24"/>
              </w:rPr>
              <w:t xml:space="preserve"> 5.10 and 5.11 of the 2023 apartment guidelines) </w:t>
            </w:r>
            <w:r w:rsidRPr="00BC5743">
              <w:rPr>
                <w:rFonts w:ascii="Arial" w:hAnsi="Arial" w:cs="Arial"/>
                <w:sz w:val="24"/>
                <w:szCs w:val="24"/>
              </w:rPr>
              <w:t>in the following specific locations:</w:t>
            </w:r>
          </w:p>
          <w:p w14:paraId="3E52FE7A" w14:textId="77777777" w:rsidR="00FE0594" w:rsidRPr="00BC5743" w:rsidRDefault="00FE0594" w:rsidP="00FE0594">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Within 500 metre walking distance of significant employment locations,</w:t>
            </w:r>
          </w:p>
          <w:p w14:paraId="10F969F6" w14:textId="77777777" w:rsidR="00FE0594" w:rsidRPr="00BC5743" w:rsidRDefault="00FE0594" w:rsidP="00FE0594">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 xml:space="preserve">Within 500 metres of major public transport interchanges (e.g. Connolly Station, Tara Street Station and </w:t>
            </w:r>
            <w:proofErr w:type="spellStart"/>
            <w:r w:rsidRPr="00BC5743">
              <w:rPr>
                <w:rFonts w:ascii="Arial" w:hAnsi="Arial" w:cs="Arial"/>
                <w:sz w:val="24"/>
                <w:szCs w:val="24"/>
              </w:rPr>
              <w:t>Heuston</w:t>
            </w:r>
            <w:proofErr w:type="spellEnd"/>
            <w:r w:rsidRPr="00BC5743">
              <w:rPr>
                <w:rFonts w:ascii="Arial" w:hAnsi="Arial" w:cs="Arial"/>
                <w:sz w:val="24"/>
                <w:szCs w:val="24"/>
              </w:rPr>
              <w:t xml:space="preserve"> Station), and</w:t>
            </w:r>
          </w:p>
          <w:p w14:paraId="4B62BB76" w14:textId="77777777" w:rsidR="00FE0594" w:rsidRPr="00BC5743" w:rsidRDefault="00FE0594" w:rsidP="00FE0594">
            <w:pPr>
              <w:pStyle w:val="ListParagraph"/>
              <w:numPr>
                <w:ilvl w:val="0"/>
                <w:numId w:val="3"/>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Within identified Strategic Development Regenerations Areas.</w:t>
            </w:r>
          </w:p>
          <w:p w14:paraId="25BE8771" w14:textId="3FF0B07A" w:rsidR="00FE0594" w:rsidRPr="00BC5743" w:rsidRDefault="00FE0594"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There will be a general presumption against large scale residential developments (in excess of 100 units) which comprise of 100% BTR typology. To ensure there are opportunities for a sustainable mix of tenure and long term sustainable communities, a minimum of 60% of units within a development must be designed as standard apartments in accordance with the requirements set out in the Sustainable Urban Housing: Design Standards for New Apartments, December 2020</w:t>
            </w:r>
            <w:r w:rsidR="00154DC5" w:rsidRPr="00BC5743">
              <w:rPr>
                <w:rFonts w:ascii="Arial" w:hAnsi="Arial" w:cs="Arial"/>
                <w:sz w:val="24"/>
                <w:szCs w:val="24"/>
              </w:rPr>
              <w:t>, as updated.</w:t>
            </w:r>
          </w:p>
          <w:p w14:paraId="195ED145" w14:textId="77777777" w:rsidR="00FE0594" w:rsidRPr="00BC5743" w:rsidRDefault="00FE0594"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 xml:space="preserve">There will be a presumption against the proliferation and over concentration of BTR development in any one area. In this regard, applications for BTR developments should be accompanied by an assessment of other permitted and proposed BTR developments within a 1km radius of the site to demonstrate: </w:t>
            </w:r>
          </w:p>
          <w:p w14:paraId="658F0806" w14:textId="77777777" w:rsidR="00FE0594" w:rsidRPr="00BC5743" w:rsidRDefault="00FE0594" w:rsidP="00FE0594">
            <w:pPr>
              <w:pStyle w:val="ListParagraph"/>
              <w:numPr>
                <w:ilvl w:val="0"/>
                <w:numId w:val="4"/>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roofErr w:type="gramStart"/>
            <w:r w:rsidRPr="00BC5743">
              <w:rPr>
                <w:rFonts w:ascii="Arial" w:hAnsi="Arial" w:cs="Arial"/>
                <w:sz w:val="24"/>
                <w:szCs w:val="24"/>
              </w:rPr>
              <w:t>that</w:t>
            </w:r>
            <w:proofErr w:type="gramEnd"/>
            <w:r w:rsidRPr="00BC5743">
              <w:rPr>
                <w:rFonts w:ascii="Arial" w:hAnsi="Arial" w:cs="Arial"/>
                <w:sz w:val="24"/>
                <w:szCs w:val="24"/>
              </w:rPr>
              <w:t xml:space="preserve"> the development would not result in the overconcentration of one housing tenure in a particular area and take into account the location of the proposed BTR. </w:t>
            </w:r>
          </w:p>
          <w:p w14:paraId="3B33C4B8" w14:textId="77777777" w:rsidR="00FE0594" w:rsidRPr="00BC5743" w:rsidRDefault="00FE0594" w:rsidP="00FE0594">
            <w:pPr>
              <w:pStyle w:val="ListParagraph"/>
              <w:numPr>
                <w:ilvl w:val="0"/>
                <w:numId w:val="4"/>
              </w:numPr>
              <w:spacing w:after="100"/>
              <w:ind w:left="337"/>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sz w:val="24"/>
                <w:szCs w:val="24"/>
              </w:rPr>
            </w:pPr>
            <w:proofErr w:type="gramStart"/>
            <w:r w:rsidRPr="00BC5743">
              <w:rPr>
                <w:rFonts w:ascii="Arial" w:hAnsi="Arial" w:cs="Arial"/>
                <w:sz w:val="24"/>
                <w:szCs w:val="24"/>
              </w:rPr>
              <w:t>how</w:t>
            </w:r>
            <w:proofErr w:type="gramEnd"/>
            <w:r w:rsidRPr="00BC5743">
              <w:rPr>
                <w:rFonts w:ascii="Arial" w:hAnsi="Arial" w:cs="Arial"/>
                <w:sz w:val="24"/>
                <w:szCs w:val="24"/>
              </w:rPr>
              <w:t xml:space="preserve"> the development supports housing need, particularly with regard to tenure, unit size and accessibility with particular reference to the Dublin City Council Housing Need and Demand Assessment.</w:t>
            </w:r>
          </w:p>
        </w:tc>
      </w:tr>
      <w:tr w:rsidR="00BC5743" w:rsidRPr="00BC5743" w14:paraId="64F646CD" w14:textId="77777777" w:rsidTr="00E51CD1">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648295EC" w14:textId="7C5F1602" w:rsidR="00FE0594" w:rsidRPr="00BC5743" w:rsidRDefault="00FE0594" w:rsidP="00FE0594">
            <w:pPr>
              <w:spacing w:after="100"/>
              <w:rPr>
                <w:rFonts w:ascii="Arial" w:hAnsi="Arial" w:cs="Arial"/>
                <w:color w:val="auto"/>
                <w:sz w:val="24"/>
                <w:szCs w:val="24"/>
              </w:rPr>
            </w:pPr>
            <w:r w:rsidRPr="00BC5743">
              <w:rPr>
                <w:rFonts w:ascii="Arial" w:hAnsi="Arial" w:cs="Arial"/>
                <w:color w:val="auto"/>
                <w:sz w:val="24"/>
                <w:szCs w:val="24"/>
              </w:rPr>
              <w:t>QHSN41</w:t>
            </w:r>
            <w:r w:rsidR="00933ED0" w:rsidRPr="00BC5743">
              <w:rPr>
                <w:rFonts w:ascii="Arial" w:hAnsi="Arial" w:cs="Arial"/>
                <w:color w:val="auto"/>
                <w:sz w:val="24"/>
                <w:szCs w:val="24"/>
              </w:rPr>
              <w:t>(a)</w:t>
            </w:r>
          </w:p>
        </w:tc>
        <w:tc>
          <w:tcPr>
            <w:tcW w:w="7839" w:type="dxa"/>
            <w:vAlign w:val="center"/>
          </w:tcPr>
          <w:p w14:paraId="00BE695D" w14:textId="5771DCA1" w:rsidR="00FE0594" w:rsidRPr="00BC5743" w:rsidRDefault="00D646E4" w:rsidP="00FE0594">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C5743">
              <w:rPr>
                <w:rFonts w:ascii="Arial" w:hAnsi="Arial" w:cs="Arial"/>
                <w:color w:val="auto"/>
                <w:sz w:val="24"/>
                <w:szCs w:val="24"/>
              </w:rPr>
              <w:t>Build</w:t>
            </w:r>
            <w:r w:rsidR="00FE0594" w:rsidRPr="00BC5743">
              <w:rPr>
                <w:rFonts w:ascii="Arial" w:hAnsi="Arial" w:cs="Arial"/>
                <w:color w:val="auto"/>
                <w:sz w:val="24"/>
                <w:szCs w:val="24"/>
              </w:rPr>
              <w:t xml:space="preserve"> to Rent Accommodation</w:t>
            </w:r>
          </w:p>
          <w:p w14:paraId="23DCB41B" w14:textId="77777777" w:rsidR="00FE0594" w:rsidRPr="00BC5743" w:rsidRDefault="00FE0594" w:rsidP="00FE0594">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C5743">
              <w:rPr>
                <w:rFonts w:ascii="Arial" w:hAnsi="Arial" w:cs="Arial"/>
                <w:sz w:val="24"/>
                <w:szCs w:val="24"/>
              </w:rPr>
              <w:t xml:space="preserve">To discourage BTR Accommodation schemes of less than 100 units due to the need to provide a critical mass of accommodation to provide a meaningful provision of communal facilities and services. Smaller BTR accommodation schemes with less than 100 units will only be considered in exceptional circumstances and where a detailed justification is provided. </w:t>
            </w:r>
          </w:p>
        </w:tc>
      </w:tr>
      <w:tr w:rsidR="00BC5743" w:rsidRPr="00BC5743" w14:paraId="44072361" w14:textId="77777777" w:rsidTr="00E51CD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57070764" w14:textId="7EA35F98" w:rsidR="00FE0594" w:rsidRPr="00BC5743" w:rsidRDefault="00FE0594" w:rsidP="00FE0594">
            <w:pPr>
              <w:spacing w:after="100"/>
              <w:rPr>
                <w:rFonts w:ascii="Arial" w:hAnsi="Arial" w:cs="Arial"/>
                <w:color w:val="auto"/>
                <w:sz w:val="24"/>
                <w:szCs w:val="24"/>
              </w:rPr>
            </w:pPr>
            <w:r w:rsidRPr="00BC5743">
              <w:rPr>
                <w:rFonts w:ascii="Arial" w:hAnsi="Arial" w:cs="Arial"/>
                <w:color w:val="auto"/>
                <w:sz w:val="24"/>
                <w:szCs w:val="24"/>
              </w:rPr>
              <w:lastRenderedPageBreak/>
              <w:t>QHSN42</w:t>
            </w:r>
            <w:r w:rsidR="00933ED0" w:rsidRPr="00BC5743">
              <w:rPr>
                <w:rFonts w:ascii="Arial" w:hAnsi="Arial" w:cs="Arial"/>
                <w:color w:val="auto"/>
                <w:sz w:val="24"/>
                <w:szCs w:val="24"/>
              </w:rPr>
              <w:t>(a)</w:t>
            </w:r>
          </w:p>
        </w:tc>
        <w:tc>
          <w:tcPr>
            <w:tcW w:w="7839" w:type="dxa"/>
            <w:vAlign w:val="center"/>
          </w:tcPr>
          <w:p w14:paraId="43B3727A" w14:textId="6DBB8CD9" w:rsidR="00FE0594" w:rsidRPr="00BC5743" w:rsidRDefault="00D646E4" w:rsidP="00FE0594">
            <w:pPr>
              <w:pStyle w:val="Heading6"/>
              <w:outlineLvl w:val="5"/>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rPr>
            </w:pPr>
            <w:r w:rsidRPr="00BC5743">
              <w:rPr>
                <w:rFonts w:ascii="Arial" w:hAnsi="Arial" w:cs="Arial"/>
                <w:color w:val="auto"/>
                <w:sz w:val="24"/>
                <w:szCs w:val="24"/>
              </w:rPr>
              <w:t>Build</w:t>
            </w:r>
            <w:r w:rsidR="00FE0594" w:rsidRPr="00BC5743">
              <w:rPr>
                <w:rFonts w:ascii="Arial" w:hAnsi="Arial" w:cs="Arial"/>
                <w:color w:val="auto"/>
                <w:sz w:val="24"/>
                <w:szCs w:val="24"/>
              </w:rPr>
              <w:t xml:space="preserve"> to Rent Accommodation</w:t>
            </w:r>
          </w:p>
          <w:p w14:paraId="563B826B" w14:textId="77777777" w:rsidR="00FE0594" w:rsidRPr="00BC5743" w:rsidRDefault="00FE0594" w:rsidP="00FE0594">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BC5743">
              <w:rPr>
                <w:rFonts w:ascii="Arial" w:hAnsi="Arial" w:cs="Arial"/>
                <w:sz w:val="24"/>
                <w:szCs w:val="24"/>
              </w:rPr>
              <w:t>To foster community both within a BTR scheme and to encourage its integration into the existing community, the applicant will be requested to provide an evidenced based analysis that the proposed resident support facilities are appropriate to the intended rental market having regard to the scale and location of the proposal.  The applicant must also demonstrate how the BTR scheme must contribute to the sustainable development of the broader community and neighbourhood.</w:t>
            </w:r>
          </w:p>
        </w:tc>
      </w:tr>
      <w:tr w:rsidR="00BC5743" w:rsidRPr="00BC5743" w14:paraId="345506A2" w14:textId="77777777" w:rsidTr="00E51CD1">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7648742B" w14:textId="1E36D235" w:rsidR="00FE0594" w:rsidRPr="00BC5743" w:rsidRDefault="00FE0594" w:rsidP="00FE0594">
            <w:pPr>
              <w:spacing w:after="100"/>
              <w:rPr>
                <w:rFonts w:ascii="Arial" w:hAnsi="Arial" w:cs="Arial"/>
                <w:color w:val="auto"/>
                <w:sz w:val="24"/>
                <w:szCs w:val="24"/>
              </w:rPr>
            </w:pPr>
            <w:r w:rsidRPr="00BC5743">
              <w:rPr>
                <w:rFonts w:ascii="Arial" w:hAnsi="Arial" w:cs="Arial"/>
                <w:color w:val="auto"/>
                <w:sz w:val="24"/>
                <w:szCs w:val="24"/>
              </w:rPr>
              <w:t>QHSN44</w:t>
            </w:r>
            <w:r w:rsidR="00A60CF2" w:rsidRPr="00BC5743">
              <w:rPr>
                <w:rFonts w:ascii="Arial" w:hAnsi="Arial" w:cs="Arial"/>
                <w:color w:val="auto"/>
                <w:sz w:val="24"/>
                <w:szCs w:val="24"/>
              </w:rPr>
              <w:t xml:space="preserve">(a) </w:t>
            </w:r>
          </w:p>
        </w:tc>
        <w:tc>
          <w:tcPr>
            <w:tcW w:w="7839" w:type="dxa"/>
            <w:vAlign w:val="center"/>
          </w:tcPr>
          <w:p w14:paraId="1572C0B6" w14:textId="77777777" w:rsidR="00A60CF2" w:rsidRPr="00BC5743" w:rsidRDefault="00FE0594" w:rsidP="00A60CF2">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C5743">
              <w:rPr>
                <w:rFonts w:ascii="Arial" w:hAnsi="Arial" w:cs="Arial"/>
                <w:color w:val="auto"/>
                <w:sz w:val="24"/>
                <w:szCs w:val="24"/>
              </w:rPr>
              <w:t>Build to Rent</w:t>
            </w:r>
          </w:p>
          <w:p w14:paraId="39D4D0A4" w14:textId="382B0177" w:rsidR="00FE0594" w:rsidRPr="00BC5743" w:rsidRDefault="00FE0594" w:rsidP="00A60CF2">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auto"/>
                <w:sz w:val="24"/>
                <w:szCs w:val="24"/>
              </w:rPr>
            </w:pPr>
            <w:r w:rsidRPr="00BC5743">
              <w:rPr>
                <w:rFonts w:ascii="Arial" w:hAnsi="Arial" w:cs="Arial"/>
                <w:color w:val="auto"/>
                <w:sz w:val="24"/>
                <w:szCs w:val="24"/>
              </w:rPr>
              <w:t>It is the policy of DCC to avoid the proliferation and concentration of clusters of build to rent development in any area of the city.</w:t>
            </w:r>
          </w:p>
        </w:tc>
      </w:tr>
    </w:tbl>
    <w:p w14:paraId="3CEC53A3" w14:textId="2E24C90E" w:rsidR="00FE0594" w:rsidRPr="00BC5743" w:rsidRDefault="00FE0594" w:rsidP="00FE0594">
      <w:pPr>
        <w:jc w:val="both"/>
        <w:rPr>
          <w:rFonts w:ascii="Arial" w:hAnsi="Arial" w:cs="Arial"/>
          <w:bCs/>
          <w:sz w:val="24"/>
          <w:szCs w:val="24"/>
        </w:rPr>
      </w:pPr>
    </w:p>
    <w:p w14:paraId="5441DF6C" w14:textId="77777777" w:rsidR="002F120A" w:rsidRPr="00BC5743" w:rsidRDefault="002F120A" w:rsidP="00FE0594">
      <w:pPr>
        <w:jc w:val="both"/>
        <w:rPr>
          <w:rFonts w:ascii="Arial" w:hAnsi="Arial" w:cs="Arial"/>
          <w:bCs/>
          <w:sz w:val="24"/>
          <w:szCs w:val="24"/>
        </w:rPr>
      </w:pPr>
    </w:p>
    <w:p w14:paraId="51516570" w14:textId="28B2B95B" w:rsidR="00FE0594" w:rsidRPr="00BC5743" w:rsidRDefault="002C1CDE" w:rsidP="00FE0594">
      <w:pPr>
        <w:jc w:val="both"/>
        <w:rPr>
          <w:rFonts w:ascii="Arial" w:hAnsi="Arial" w:cs="Arial"/>
          <w:b/>
          <w:sz w:val="24"/>
          <w:szCs w:val="24"/>
        </w:rPr>
      </w:pPr>
      <w:r w:rsidRPr="00BC5743">
        <w:rPr>
          <w:rFonts w:ascii="Arial" w:hAnsi="Arial" w:cs="Arial"/>
          <w:b/>
          <w:sz w:val="24"/>
          <w:szCs w:val="24"/>
        </w:rPr>
        <w:t>3.2</w:t>
      </w:r>
      <w:r w:rsidRPr="00BC5743">
        <w:rPr>
          <w:rFonts w:ascii="Arial" w:hAnsi="Arial" w:cs="Arial"/>
          <w:b/>
          <w:sz w:val="24"/>
          <w:szCs w:val="24"/>
        </w:rPr>
        <w:tab/>
      </w:r>
      <w:r w:rsidR="00F95D90" w:rsidRPr="00BC5743">
        <w:rPr>
          <w:rFonts w:ascii="Arial" w:hAnsi="Arial" w:cs="Arial"/>
          <w:b/>
          <w:sz w:val="24"/>
          <w:szCs w:val="24"/>
        </w:rPr>
        <w:t>Land Use Zoning</w:t>
      </w:r>
    </w:p>
    <w:p w14:paraId="4ED75C29" w14:textId="2F7876F6" w:rsidR="002C1CDE" w:rsidRPr="00BC5743" w:rsidRDefault="00A446D5" w:rsidP="002C1CDE">
      <w:pPr>
        <w:jc w:val="both"/>
        <w:rPr>
          <w:rFonts w:ascii="Arial" w:hAnsi="Arial" w:cs="Arial"/>
          <w:bCs/>
          <w:sz w:val="24"/>
          <w:szCs w:val="24"/>
        </w:rPr>
      </w:pPr>
      <w:r w:rsidRPr="00BC5743">
        <w:rPr>
          <w:rFonts w:ascii="Arial" w:hAnsi="Arial" w:cs="Arial"/>
          <w:bCs/>
          <w:sz w:val="24"/>
          <w:szCs w:val="24"/>
        </w:rPr>
        <w:t>The following should be read in con</w:t>
      </w:r>
      <w:r w:rsidR="009D6BE4" w:rsidRPr="00BC5743">
        <w:rPr>
          <w:rFonts w:ascii="Arial" w:hAnsi="Arial" w:cs="Arial"/>
          <w:bCs/>
          <w:sz w:val="24"/>
          <w:szCs w:val="24"/>
        </w:rPr>
        <w:t xml:space="preserve">junction with Chapter 14 of Volume 1: </w:t>
      </w:r>
      <w:r w:rsidRPr="00BC5743">
        <w:rPr>
          <w:rFonts w:ascii="Arial" w:hAnsi="Arial" w:cs="Arial"/>
          <w:bCs/>
          <w:sz w:val="24"/>
          <w:szCs w:val="24"/>
        </w:rPr>
        <w:t>Written Statement of the Development Plan</w:t>
      </w:r>
      <w:r w:rsidR="00E44B20" w:rsidRPr="00BC5743">
        <w:rPr>
          <w:rFonts w:ascii="Arial" w:hAnsi="Arial" w:cs="Arial"/>
          <w:bCs/>
          <w:sz w:val="24"/>
          <w:szCs w:val="24"/>
        </w:rPr>
        <w:t xml:space="preserve"> (Land Use Zoning) and with Maps A to H of the Plan.</w:t>
      </w:r>
    </w:p>
    <w:p w14:paraId="3B7877C3" w14:textId="16DCC522" w:rsidR="00856732" w:rsidRPr="00BC5743" w:rsidRDefault="00856732" w:rsidP="002C1CDE">
      <w:pPr>
        <w:jc w:val="both"/>
        <w:rPr>
          <w:rFonts w:ascii="Arial" w:hAnsi="Arial" w:cs="Arial"/>
          <w:bCs/>
          <w:sz w:val="24"/>
          <w:szCs w:val="24"/>
        </w:rPr>
      </w:pPr>
      <w:r w:rsidRPr="00BC5743">
        <w:rPr>
          <w:rFonts w:ascii="Arial" w:hAnsi="Arial" w:cs="Arial"/>
          <w:bCs/>
          <w:sz w:val="24"/>
          <w:szCs w:val="24"/>
        </w:rPr>
        <w:t xml:space="preserve">In order to achieve a sustainable tenure mix in neighbourhoods, the Build-To-Rent residential typology is predominantly in the open for consideration category.  </w:t>
      </w:r>
    </w:p>
    <w:p w14:paraId="14926B10" w14:textId="3217DB12" w:rsidR="00E44B20" w:rsidRPr="00BC5743" w:rsidRDefault="00E44B20" w:rsidP="00E44B20">
      <w:pPr>
        <w:jc w:val="both"/>
        <w:rPr>
          <w:rFonts w:ascii="Arial" w:hAnsi="Arial" w:cs="Arial"/>
          <w:bCs/>
          <w:sz w:val="24"/>
          <w:szCs w:val="24"/>
        </w:rPr>
      </w:pPr>
      <w:r w:rsidRPr="00BC5743">
        <w:rPr>
          <w:rFonts w:ascii="Arial" w:hAnsi="Arial" w:cs="Arial"/>
          <w:bCs/>
          <w:sz w:val="24"/>
          <w:szCs w:val="24"/>
        </w:rPr>
        <w:t xml:space="preserve">In brief </w:t>
      </w:r>
      <w:r w:rsidR="009D6BE4" w:rsidRPr="00BC5743">
        <w:rPr>
          <w:rFonts w:ascii="Arial" w:hAnsi="Arial" w:cs="Arial"/>
          <w:bCs/>
          <w:sz w:val="24"/>
          <w:szCs w:val="24"/>
        </w:rPr>
        <w:t>Build-To-Rent</w:t>
      </w:r>
      <w:r w:rsidRPr="00BC5743">
        <w:rPr>
          <w:rFonts w:ascii="Arial" w:hAnsi="Arial" w:cs="Arial"/>
          <w:bCs/>
          <w:sz w:val="24"/>
          <w:szCs w:val="24"/>
        </w:rPr>
        <w:t xml:space="preserve"> resid</w:t>
      </w:r>
      <w:r w:rsidR="004257B9" w:rsidRPr="00BC5743">
        <w:rPr>
          <w:rFonts w:ascii="Arial" w:hAnsi="Arial" w:cs="Arial"/>
          <w:bCs/>
          <w:sz w:val="24"/>
          <w:szCs w:val="24"/>
        </w:rPr>
        <w:t xml:space="preserve">ential is open for consideration </w:t>
      </w:r>
      <w:r w:rsidR="00134F4F" w:rsidRPr="00BC5743">
        <w:rPr>
          <w:rFonts w:ascii="Arial" w:hAnsi="Arial" w:cs="Arial"/>
          <w:bCs/>
          <w:sz w:val="24"/>
          <w:szCs w:val="24"/>
        </w:rPr>
        <w:t xml:space="preserve">as a transitional arrangement only as set out in </w:t>
      </w:r>
      <w:proofErr w:type="gramStart"/>
      <w:r w:rsidR="00134F4F" w:rsidRPr="00BC5743">
        <w:rPr>
          <w:rFonts w:ascii="Arial" w:hAnsi="Arial" w:cs="Arial"/>
          <w:bCs/>
          <w:sz w:val="24"/>
          <w:szCs w:val="24"/>
        </w:rPr>
        <w:t>QHSN40</w:t>
      </w:r>
      <w:r w:rsidR="00933ED0" w:rsidRPr="00BC5743">
        <w:rPr>
          <w:rFonts w:ascii="Arial" w:hAnsi="Arial" w:cs="Arial"/>
          <w:bCs/>
          <w:sz w:val="24"/>
          <w:szCs w:val="24"/>
        </w:rPr>
        <w:t>(</w:t>
      </w:r>
      <w:proofErr w:type="gramEnd"/>
      <w:r w:rsidR="00933ED0" w:rsidRPr="00BC5743">
        <w:rPr>
          <w:rFonts w:ascii="Arial" w:hAnsi="Arial" w:cs="Arial"/>
          <w:bCs/>
          <w:sz w:val="24"/>
          <w:szCs w:val="24"/>
        </w:rPr>
        <w:t>a)</w:t>
      </w:r>
      <w:r w:rsidR="00134F4F" w:rsidRPr="00BC5743">
        <w:rPr>
          <w:rFonts w:ascii="Arial" w:hAnsi="Arial" w:cs="Arial"/>
          <w:bCs/>
          <w:sz w:val="24"/>
          <w:szCs w:val="24"/>
        </w:rPr>
        <w:t xml:space="preserve"> </w:t>
      </w:r>
      <w:r w:rsidRPr="00BC5743">
        <w:rPr>
          <w:rFonts w:ascii="Arial" w:hAnsi="Arial" w:cs="Arial"/>
          <w:bCs/>
          <w:sz w:val="24"/>
          <w:szCs w:val="24"/>
        </w:rPr>
        <w:t xml:space="preserve">under Land Use Zoning Objectives Z1, Z2, Z4, Z5, Z10, Z12.  </w:t>
      </w:r>
    </w:p>
    <w:p w14:paraId="4B1EF7C4" w14:textId="0F62E5A6" w:rsidR="00E44B20" w:rsidRPr="00BC5743" w:rsidRDefault="009D6BE4" w:rsidP="00E44B20">
      <w:pPr>
        <w:jc w:val="both"/>
        <w:rPr>
          <w:rFonts w:ascii="Arial" w:hAnsi="Arial" w:cs="Arial"/>
          <w:bCs/>
          <w:sz w:val="24"/>
          <w:szCs w:val="24"/>
        </w:rPr>
      </w:pPr>
      <w:r w:rsidRPr="00BC5743">
        <w:rPr>
          <w:rFonts w:ascii="Arial" w:hAnsi="Arial" w:cs="Arial"/>
          <w:bCs/>
          <w:sz w:val="24"/>
          <w:szCs w:val="24"/>
        </w:rPr>
        <w:t>Build-To-Rent</w:t>
      </w:r>
      <w:r w:rsidR="00E44B20" w:rsidRPr="00BC5743">
        <w:rPr>
          <w:rFonts w:ascii="Arial" w:hAnsi="Arial" w:cs="Arial"/>
          <w:bCs/>
          <w:sz w:val="24"/>
          <w:szCs w:val="24"/>
        </w:rPr>
        <w:t xml:space="preserve"> residential is a permissible use under </w:t>
      </w:r>
      <w:r w:rsidR="00134F4F" w:rsidRPr="00BC5743">
        <w:rPr>
          <w:rFonts w:ascii="Arial" w:hAnsi="Arial" w:cs="Arial"/>
          <w:bCs/>
          <w:sz w:val="24"/>
          <w:szCs w:val="24"/>
        </w:rPr>
        <w:t xml:space="preserve">Land Use Zoning Objective Z14 only as a transitional arrangement as described in </w:t>
      </w:r>
      <w:proofErr w:type="gramStart"/>
      <w:r w:rsidR="00134F4F" w:rsidRPr="00BC5743">
        <w:rPr>
          <w:rFonts w:ascii="Arial" w:hAnsi="Arial" w:cs="Arial"/>
          <w:bCs/>
          <w:sz w:val="24"/>
          <w:szCs w:val="24"/>
        </w:rPr>
        <w:t>QHSN40</w:t>
      </w:r>
      <w:r w:rsidR="00933ED0" w:rsidRPr="00BC5743">
        <w:rPr>
          <w:rFonts w:ascii="Arial" w:hAnsi="Arial" w:cs="Arial"/>
          <w:bCs/>
          <w:sz w:val="24"/>
          <w:szCs w:val="24"/>
        </w:rPr>
        <w:t>(</w:t>
      </w:r>
      <w:proofErr w:type="gramEnd"/>
      <w:r w:rsidR="00933ED0" w:rsidRPr="00BC5743">
        <w:rPr>
          <w:rFonts w:ascii="Arial" w:hAnsi="Arial" w:cs="Arial"/>
          <w:bCs/>
          <w:sz w:val="24"/>
          <w:szCs w:val="24"/>
        </w:rPr>
        <w:t>a)</w:t>
      </w:r>
      <w:r w:rsidR="00134F4F" w:rsidRPr="00BC5743">
        <w:rPr>
          <w:rFonts w:ascii="Arial" w:hAnsi="Arial" w:cs="Arial"/>
          <w:bCs/>
          <w:sz w:val="24"/>
          <w:szCs w:val="24"/>
        </w:rPr>
        <w:t xml:space="preserve">. </w:t>
      </w:r>
    </w:p>
    <w:p w14:paraId="12440E1E" w14:textId="77777777" w:rsidR="003178D0" w:rsidRPr="00BC5743" w:rsidRDefault="003178D0" w:rsidP="00FE0594">
      <w:pPr>
        <w:jc w:val="both"/>
        <w:rPr>
          <w:rFonts w:ascii="Arial" w:hAnsi="Arial" w:cs="Arial"/>
          <w:b/>
          <w:sz w:val="24"/>
          <w:szCs w:val="24"/>
        </w:rPr>
      </w:pPr>
    </w:p>
    <w:p w14:paraId="61BD9358" w14:textId="254990C8" w:rsidR="00FE0594" w:rsidRPr="00BC5743" w:rsidRDefault="008C7BE4" w:rsidP="00FE0594">
      <w:pPr>
        <w:jc w:val="both"/>
        <w:rPr>
          <w:rFonts w:ascii="Arial" w:hAnsi="Arial" w:cs="Arial"/>
          <w:b/>
          <w:sz w:val="24"/>
          <w:szCs w:val="24"/>
        </w:rPr>
      </w:pPr>
      <w:r w:rsidRPr="00BC5743">
        <w:rPr>
          <w:rFonts w:ascii="Arial" w:hAnsi="Arial" w:cs="Arial"/>
          <w:b/>
          <w:sz w:val="24"/>
          <w:szCs w:val="24"/>
        </w:rPr>
        <w:t>3.3</w:t>
      </w:r>
      <w:r w:rsidR="00343BE4" w:rsidRPr="00BC5743">
        <w:rPr>
          <w:rFonts w:ascii="Arial" w:hAnsi="Arial" w:cs="Arial"/>
          <w:b/>
          <w:sz w:val="24"/>
          <w:szCs w:val="24"/>
        </w:rPr>
        <w:tab/>
      </w:r>
      <w:r w:rsidR="00FE0594" w:rsidRPr="00BC5743">
        <w:rPr>
          <w:rFonts w:ascii="Arial" w:hAnsi="Arial" w:cs="Arial"/>
          <w:b/>
          <w:sz w:val="24"/>
          <w:szCs w:val="24"/>
        </w:rPr>
        <w:t>Development Standards</w:t>
      </w:r>
      <w:r w:rsidR="00335F50" w:rsidRPr="00BC5743">
        <w:rPr>
          <w:rFonts w:ascii="Arial" w:hAnsi="Arial" w:cs="Arial"/>
          <w:b/>
          <w:sz w:val="24"/>
          <w:szCs w:val="24"/>
        </w:rPr>
        <w:t xml:space="preserve"> for Build to Rent</w:t>
      </w:r>
    </w:p>
    <w:p w14:paraId="05D5CE78" w14:textId="77777777" w:rsidR="00FD1CE3" w:rsidRPr="00BC5743" w:rsidRDefault="00FE0594" w:rsidP="00FE0594">
      <w:pPr>
        <w:rPr>
          <w:rFonts w:ascii="Arial" w:hAnsi="Arial" w:cs="Arial"/>
          <w:sz w:val="24"/>
          <w:szCs w:val="24"/>
        </w:rPr>
      </w:pPr>
      <w:r w:rsidRPr="00BC5743">
        <w:rPr>
          <w:rFonts w:ascii="Arial" w:hAnsi="Arial" w:cs="Arial"/>
          <w:sz w:val="24"/>
          <w:szCs w:val="24"/>
        </w:rPr>
        <w:t xml:space="preserve">This section sets out specific guidance for </w:t>
      </w:r>
      <w:r w:rsidR="00F95D90" w:rsidRPr="00BC5743">
        <w:rPr>
          <w:rFonts w:ascii="Arial" w:hAnsi="Arial" w:cs="Arial"/>
          <w:sz w:val="24"/>
          <w:szCs w:val="24"/>
        </w:rPr>
        <w:t xml:space="preserve">Build to Rent.  </w:t>
      </w:r>
    </w:p>
    <w:p w14:paraId="6ED5CDF7" w14:textId="7A25590A" w:rsidR="00FE0594" w:rsidRPr="00BC5743" w:rsidRDefault="00FE0594" w:rsidP="00FE0594">
      <w:pPr>
        <w:rPr>
          <w:rFonts w:ascii="Arial" w:eastAsia="Arial" w:hAnsi="Arial" w:cs="Arial"/>
          <w:sz w:val="24"/>
          <w:szCs w:val="24"/>
        </w:rPr>
      </w:pPr>
      <w:r w:rsidRPr="00BC5743">
        <w:rPr>
          <w:rFonts w:ascii="Arial" w:eastAsia="Arial" w:hAnsi="Arial" w:cs="Arial"/>
          <w:sz w:val="24"/>
          <w:szCs w:val="24"/>
        </w:rPr>
        <w:t>For clarity, in accordance with SPPR 8, the unit mix requirement for the North Inner City and Liberties Sub-City Areas does not apply to units that are designed to a BTR standard.</w:t>
      </w:r>
    </w:p>
    <w:p w14:paraId="567A9C3C" w14:textId="022E4BC3" w:rsidR="00FE0594" w:rsidRPr="00BC5743" w:rsidRDefault="008C7BE4" w:rsidP="00FE0594">
      <w:pPr>
        <w:pStyle w:val="Heading2"/>
        <w:rPr>
          <w:rFonts w:ascii="Arial" w:hAnsi="Arial" w:cs="Arial"/>
          <w:color w:val="auto"/>
          <w:sz w:val="24"/>
          <w:szCs w:val="24"/>
        </w:rPr>
      </w:pPr>
      <w:r w:rsidRPr="00BC5743">
        <w:rPr>
          <w:rFonts w:ascii="Arial" w:hAnsi="Arial" w:cs="Arial"/>
          <w:color w:val="auto"/>
          <w:sz w:val="24"/>
          <w:szCs w:val="24"/>
        </w:rPr>
        <w:t>3.3.1</w:t>
      </w:r>
      <w:r w:rsidRPr="00BC5743">
        <w:rPr>
          <w:rFonts w:ascii="Arial" w:hAnsi="Arial" w:cs="Arial"/>
          <w:color w:val="auto"/>
          <w:sz w:val="24"/>
          <w:szCs w:val="24"/>
        </w:rPr>
        <w:tab/>
      </w:r>
      <w:r w:rsidR="00FE0594" w:rsidRPr="00BC5743">
        <w:rPr>
          <w:rFonts w:ascii="Arial" w:hAnsi="Arial" w:cs="Arial"/>
          <w:color w:val="auto"/>
          <w:sz w:val="24"/>
          <w:szCs w:val="24"/>
        </w:rPr>
        <w:t>Build to Rent Residential Developments (BTR)</w:t>
      </w:r>
    </w:p>
    <w:p w14:paraId="38C88429" w14:textId="74AADF2F" w:rsidR="00FE0594" w:rsidRPr="00BC5743" w:rsidRDefault="00FE0594" w:rsidP="00FE0594">
      <w:pPr>
        <w:spacing w:after="0"/>
        <w:rPr>
          <w:rFonts w:ascii="Arial" w:hAnsi="Arial" w:cs="Arial"/>
          <w:sz w:val="24"/>
          <w:szCs w:val="24"/>
        </w:rPr>
      </w:pPr>
      <w:r w:rsidRPr="00BC5743">
        <w:rPr>
          <w:rFonts w:ascii="Arial" w:hAnsi="Arial" w:cs="Arial"/>
          <w:sz w:val="24"/>
          <w:szCs w:val="24"/>
        </w:rPr>
        <w:t>“Build to Ren</w:t>
      </w:r>
      <w:r w:rsidR="00D646E4" w:rsidRPr="00BC5743">
        <w:rPr>
          <w:rFonts w:ascii="Arial" w:hAnsi="Arial" w:cs="Arial"/>
          <w:sz w:val="24"/>
          <w:szCs w:val="24"/>
        </w:rPr>
        <w:t>t” (BTR) refers to purpose build</w:t>
      </w:r>
      <w:r w:rsidRPr="00BC5743">
        <w:rPr>
          <w:rFonts w:ascii="Arial" w:hAnsi="Arial" w:cs="Arial"/>
          <w:sz w:val="24"/>
          <w:szCs w:val="24"/>
        </w:rPr>
        <w:t xml:space="preserve"> residential accommodatio</w:t>
      </w:r>
      <w:r w:rsidR="00D646E4" w:rsidRPr="00BC5743">
        <w:rPr>
          <w:rFonts w:ascii="Arial" w:hAnsi="Arial" w:cs="Arial"/>
          <w:sz w:val="24"/>
          <w:szCs w:val="24"/>
        </w:rPr>
        <w:t>n and associated amenities build</w:t>
      </w:r>
      <w:r w:rsidRPr="00BC5743">
        <w:rPr>
          <w:rFonts w:ascii="Arial" w:hAnsi="Arial" w:cs="Arial"/>
          <w:sz w:val="24"/>
          <w:szCs w:val="24"/>
        </w:rPr>
        <w:t xml:space="preserve"> specifically for long term rental that is managed and </w:t>
      </w:r>
      <w:r w:rsidRPr="00BC5743">
        <w:rPr>
          <w:rFonts w:ascii="Arial" w:hAnsi="Arial" w:cs="Arial"/>
          <w:sz w:val="24"/>
          <w:szCs w:val="24"/>
        </w:rPr>
        <w:lastRenderedPageBreak/>
        <w:t xml:space="preserve">serviced in an institutional manner by an institutional landlord. Recent emerging trends would indicate that the dominance of BTR in large schemes can be to the detriment of </w:t>
      </w:r>
      <w:r w:rsidRPr="00BC5743">
        <w:rPr>
          <w:rFonts w:ascii="Arial" w:hAnsi="Arial" w:cs="Arial"/>
          <w:bCs/>
          <w:sz w:val="24"/>
          <w:szCs w:val="24"/>
        </w:rPr>
        <w:t xml:space="preserve">standard designed apartment </w:t>
      </w:r>
      <w:r w:rsidRPr="00BC5743">
        <w:rPr>
          <w:rFonts w:ascii="Arial" w:hAnsi="Arial" w:cs="Arial"/>
          <w:sz w:val="24"/>
          <w:szCs w:val="24"/>
        </w:rPr>
        <w:t>units. Dublin C</w:t>
      </w:r>
      <w:r w:rsidR="00D646E4" w:rsidRPr="00BC5743">
        <w:rPr>
          <w:rFonts w:ascii="Arial" w:hAnsi="Arial" w:cs="Arial"/>
          <w:sz w:val="24"/>
          <w:szCs w:val="24"/>
        </w:rPr>
        <w:t>ity Council will consider “Build</w:t>
      </w:r>
      <w:r w:rsidRPr="00BC5743">
        <w:rPr>
          <w:rFonts w:ascii="Arial" w:hAnsi="Arial" w:cs="Arial"/>
          <w:sz w:val="24"/>
          <w:szCs w:val="24"/>
        </w:rPr>
        <w:t xml:space="preserve"> to Rent” developments in specific locations as follows:</w:t>
      </w:r>
    </w:p>
    <w:p w14:paraId="7F82F4FA" w14:textId="77777777" w:rsidR="00FE0594" w:rsidRPr="00BC5743" w:rsidRDefault="00FE0594" w:rsidP="00FE0594">
      <w:pPr>
        <w:spacing w:after="0"/>
        <w:rPr>
          <w:rFonts w:ascii="Arial" w:hAnsi="Arial" w:cs="Arial"/>
          <w:sz w:val="24"/>
          <w:szCs w:val="24"/>
        </w:rPr>
      </w:pPr>
    </w:p>
    <w:p w14:paraId="5DFD2416" w14:textId="77777777" w:rsidR="00FE0594" w:rsidRPr="00BC5743" w:rsidRDefault="00FE0594" w:rsidP="00FE0594">
      <w:pPr>
        <w:pStyle w:val="Default"/>
        <w:widowControl/>
        <w:numPr>
          <w:ilvl w:val="0"/>
          <w:numId w:val="5"/>
        </w:numPr>
        <w:spacing w:line="276" w:lineRule="auto"/>
        <w:rPr>
          <w:rFonts w:ascii="Arial" w:eastAsia="Calibri" w:hAnsi="Arial" w:cs="Arial"/>
          <w:bCs/>
          <w:color w:val="auto"/>
        </w:rPr>
      </w:pPr>
      <w:r w:rsidRPr="00BC5743">
        <w:rPr>
          <w:rFonts w:ascii="Arial" w:eastAsia="Calibri" w:hAnsi="Arial" w:cs="Arial"/>
          <w:color w:val="auto"/>
        </w:rPr>
        <w:t xml:space="preserve">Within 500 metre walking distance of </w:t>
      </w:r>
      <w:r w:rsidRPr="00BC5743">
        <w:rPr>
          <w:rFonts w:ascii="Arial" w:eastAsia="Calibri" w:hAnsi="Arial" w:cs="Arial"/>
          <w:bCs/>
          <w:color w:val="auto"/>
        </w:rPr>
        <w:t>significant employment locations.</w:t>
      </w:r>
    </w:p>
    <w:p w14:paraId="535E5734" w14:textId="77777777" w:rsidR="00FE0594" w:rsidRPr="00BC5743" w:rsidRDefault="00FE0594" w:rsidP="00FE0594">
      <w:pPr>
        <w:pStyle w:val="Default"/>
        <w:widowControl/>
        <w:numPr>
          <w:ilvl w:val="0"/>
          <w:numId w:val="5"/>
        </w:numPr>
        <w:spacing w:line="276" w:lineRule="auto"/>
        <w:rPr>
          <w:rFonts w:ascii="Arial" w:eastAsia="Calibri" w:hAnsi="Arial" w:cs="Arial"/>
          <w:bCs/>
          <w:color w:val="auto"/>
        </w:rPr>
      </w:pPr>
      <w:r w:rsidRPr="00BC5743">
        <w:rPr>
          <w:rFonts w:ascii="Arial" w:eastAsia="Calibri" w:hAnsi="Arial" w:cs="Arial"/>
          <w:color w:val="auto"/>
        </w:rPr>
        <w:t xml:space="preserve">Within 500m of major public transport interchanges (e.g. Connolly Station, Tara Street Station and </w:t>
      </w:r>
      <w:proofErr w:type="spellStart"/>
      <w:r w:rsidRPr="00BC5743">
        <w:rPr>
          <w:rFonts w:ascii="Arial" w:eastAsia="Calibri" w:hAnsi="Arial" w:cs="Arial"/>
          <w:color w:val="auto"/>
        </w:rPr>
        <w:t>Heuston</w:t>
      </w:r>
      <w:proofErr w:type="spellEnd"/>
      <w:r w:rsidRPr="00BC5743">
        <w:rPr>
          <w:rFonts w:ascii="Arial" w:eastAsia="Calibri" w:hAnsi="Arial" w:cs="Arial"/>
          <w:color w:val="auto"/>
        </w:rPr>
        <w:t xml:space="preserve"> Station), and within identified Strategic Development Regenerations </w:t>
      </w:r>
      <w:r w:rsidRPr="00BC5743">
        <w:rPr>
          <w:rFonts w:ascii="Arial" w:eastAsia="Calibri" w:hAnsi="Arial" w:cs="Arial"/>
          <w:bCs/>
          <w:color w:val="auto"/>
        </w:rPr>
        <w:t>Areas.</w:t>
      </w:r>
    </w:p>
    <w:p w14:paraId="65443F5A" w14:textId="77777777" w:rsidR="00FE0594" w:rsidRPr="00BC5743" w:rsidRDefault="00FE0594" w:rsidP="00FE0594">
      <w:pPr>
        <w:pStyle w:val="Default"/>
        <w:spacing w:line="276" w:lineRule="auto"/>
        <w:rPr>
          <w:rFonts w:ascii="Arial" w:eastAsia="Calibri" w:hAnsi="Arial" w:cs="Arial"/>
          <w:bCs/>
          <w:color w:val="auto"/>
        </w:rPr>
      </w:pPr>
    </w:p>
    <w:p w14:paraId="063F5B42" w14:textId="77777777" w:rsidR="00FE0594" w:rsidRPr="00BC5743" w:rsidRDefault="00FE0594" w:rsidP="00FE0594">
      <w:pPr>
        <w:pStyle w:val="Default"/>
        <w:spacing w:line="276" w:lineRule="auto"/>
        <w:rPr>
          <w:rFonts w:ascii="Arial" w:eastAsia="Calibri" w:hAnsi="Arial" w:cs="Arial"/>
          <w:color w:val="auto"/>
        </w:rPr>
      </w:pPr>
      <w:r w:rsidRPr="00BC5743">
        <w:rPr>
          <w:rFonts w:ascii="Arial" w:eastAsia="Calibri" w:hAnsi="Arial" w:cs="Arial"/>
          <w:color w:val="auto"/>
        </w:rPr>
        <w:t xml:space="preserve">There will be a general presumption against large scale residential developments (in excess of 100 units) which comprise of 100% BTR typology. To ensure a sustainable mix of tenure and long-term sustainable communities, a minimum of </w:t>
      </w:r>
      <w:r w:rsidRPr="00BC5743">
        <w:rPr>
          <w:rFonts w:ascii="Arial" w:eastAsia="Calibri" w:hAnsi="Arial" w:cs="Arial"/>
          <w:bCs/>
          <w:color w:val="auto"/>
        </w:rPr>
        <w:t xml:space="preserve">60% </w:t>
      </w:r>
      <w:r w:rsidRPr="00BC5743">
        <w:rPr>
          <w:rFonts w:ascii="Arial" w:eastAsia="Calibri" w:hAnsi="Arial" w:cs="Arial"/>
          <w:color w:val="auto"/>
        </w:rPr>
        <w:t xml:space="preserve">of standard </w:t>
      </w:r>
      <w:r w:rsidRPr="00BC5743">
        <w:rPr>
          <w:rFonts w:ascii="Arial" w:eastAsia="Calibri" w:hAnsi="Arial" w:cs="Arial"/>
          <w:bCs/>
          <w:color w:val="auto"/>
        </w:rPr>
        <w:t xml:space="preserve">designed </w:t>
      </w:r>
      <w:r w:rsidRPr="00BC5743">
        <w:rPr>
          <w:rFonts w:ascii="Arial" w:eastAsia="Calibri" w:hAnsi="Arial" w:cs="Arial"/>
          <w:color w:val="auto"/>
        </w:rPr>
        <w:t>apartments will be required in such instances.</w:t>
      </w:r>
    </w:p>
    <w:p w14:paraId="479C943F" w14:textId="77777777" w:rsidR="00FE0594" w:rsidRPr="00BC5743" w:rsidRDefault="00FE0594" w:rsidP="00FE0594">
      <w:pPr>
        <w:pStyle w:val="Default"/>
        <w:spacing w:line="276" w:lineRule="auto"/>
        <w:rPr>
          <w:rFonts w:ascii="Arial" w:hAnsi="Arial" w:cs="Arial"/>
          <w:color w:val="auto"/>
        </w:rPr>
      </w:pPr>
    </w:p>
    <w:p w14:paraId="5CF0013D" w14:textId="0B0FE7FB" w:rsidR="00FE0594" w:rsidRPr="00BC5743" w:rsidRDefault="00FE0594" w:rsidP="00FE0594">
      <w:pPr>
        <w:pStyle w:val="Default"/>
        <w:spacing w:line="276" w:lineRule="auto"/>
        <w:rPr>
          <w:rFonts w:ascii="Arial" w:eastAsia="Arial" w:hAnsi="Arial" w:cs="Arial"/>
          <w:bCs/>
          <w:color w:val="auto"/>
        </w:rPr>
      </w:pPr>
      <w:r w:rsidRPr="00BC5743">
        <w:rPr>
          <w:rFonts w:ascii="Arial" w:eastAsia="Arial" w:hAnsi="Arial" w:cs="Arial"/>
          <w:bCs/>
          <w:color w:val="auto"/>
        </w:rPr>
        <w:t xml:space="preserve">Please refer to Policy </w:t>
      </w:r>
      <w:proofErr w:type="gramStart"/>
      <w:r w:rsidRPr="00BC5743">
        <w:rPr>
          <w:rFonts w:ascii="Arial" w:eastAsia="Arial" w:hAnsi="Arial" w:cs="Arial"/>
          <w:bCs/>
          <w:color w:val="auto"/>
        </w:rPr>
        <w:t>QHSN40</w:t>
      </w:r>
      <w:r w:rsidR="00933ED0" w:rsidRPr="00BC5743">
        <w:rPr>
          <w:rFonts w:ascii="Arial" w:eastAsia="Arial" w:hAnsi="Arial" w:cs="Arial"/>
          <w:bCs/>
          <w:color w:val="auto"/>
        </w:rPr>
        <w:t>(</w:t>
      </w:r>
      <w:proofErr w:type="gramEnd"/>
      <w:r w:rsidR="00933ED0" w:rsidRPr="00BC5743">
        <w:rPr>
          <w:rFonts w:ascii="Arial" w:eastAsia="Arial" w:hAnsi="Arial" w:cs="Arial"/>
          <w:bCs/>
          <w:color w:val="auto"/>
        </w:rPr>
        <w:t>a)</w:t>
      </w:r>
      <w:r w:rsidR="00806D38" w:rsidRPr="00BC5743">
        <w:rPr>
          <w:rFonts w:ascii="Arial" w:eastAsia="Arial" w:hAnsi="Arial" w:cs="Arial"/>
          <w:bCs/>
          <w:color w:val="auto"/>
        </w:rPr>
        <w:t xml:space="preserve"> above</w:t>
      </w:r>
      <w:r w:rsidRPr="00BC5743">
        <w:rPr>
          <w:rFonts w:ascii="Arial" w:eastAsia="Arial" w:hAnsi="Arial" w:cs="Arial"/>
          <w:bCs/>
          <w:color w:val="auto"/>
        </w:rPr>
        <w:t>.</w:t>
      </w:r>
    </w:p>
    <w:p w14:paraId="7E6C5E84" w14:textId="77777777" w:rsidR="00FE0594" w:rsidRPr="00BC5743" w:rsidRDefault="00FE0594" w:rsidP="00FE0594">
      <w:pPr>
        <w:pStyle w:val="Default"/>
        <w:spacing w:line="276" w:lineRule="auto"/>
        <w:rPr>
          <w:rFonts w:ascii="Arial" w:hAnsi="Arial" w:cs="Arial"/>
          <w:color w:val="auto"/>
        </w:rPr>
      </w:pPr>
    </w:p>
    <w:p w14:paraId="1E72FA99" w14:textId="121077DA" w:rsidR="00FE0594" w:rsidRPr="00BC5743" w:rsidRDefault="00FE0594" w:rsidP="00FE0594">
      <w:pPr>
        <w:spacing w:after="0"/>
        <w:rPr>
          <w:rFonts w:ascii="Arial" w:hAnsi="Arial" w:cs="Arial"/>
          <w:sz w:val="24"/>
          <w:szCs w:val="24"/>
        </w:rPr>
      </w:pPr>
      <w:r w:rsidRPr="00BC5743">
        <w:rPr>
          <w:rFonts w:ascii="Arial" w:hAnsi="Arial" w:cs="Arial"/>
          <w:sz w:val="24"/>
          <w:szCs w:val="24"/>
        </w:rPr>
        <w:t xml:space="preserve">Furthermore, whilst BTR is considered to be an integral part in achieving an appropriate mix of housing in the right locations, there will be a presumption against the proliferation and over concentration of Build to </w:t>
      </w:r>
      <w:proofErr w:type="gramStart"/>
      <w:r w:rsidRPr="00BC5743">
        <w:rPr>
          <w:rFonts w:ascii="Arial" w:hAnsi="Arial" w:cs="Arial"/>
          <w:sz w:val="24"/>
          <w:szCs w:val="24"/>
        </w:rPr>
        <w:t>R</w:t>
      </w:r>
      <w:r w:rsidR="00134F4F" w:rsidRPr="00BC5743">
        <w:rPr>
          <w:rFonts w:ascii="Arial" w:hAnsi="Arial" w:cs="Arial"/>
          <w:sz w:val="24"/>
          <w:szCs w:val="24"/>
        </w:rPr>
        <w:t>ent</w:t>
      </w:r>
      <w:proofErr w:type="gramEnd"/>
      <w:r w:rsidR="00134F4F" w:rsidRPr="00BC5743">
        <w:rPr>
          <w:rFonts w:ascii="Arial" w:hAnsi="Arial" w:cs="Arial"/>
          <w:sz w:val="24"/>
          <w:szCs w:val="24"/>
        </w:rPr>
        <w:t xml:space="preserve"> development in any one area.  </w:t>
      </w:r>
      <w:r w:rsidRPr="00BC5743">
        <w:rPr>
          <w:rFonts w:ascii="Arial" w:hAnsi="Arial" w:cs="Arial"/>
          <w:sz w:val="24"/>
          <w:szCs w:val="24"/>
        </w:rPr>
        <w:t xml:space="preserve">Applications for “Build to Rent” developments should be accompanied by an assessment of other permitted </w:t>
      </w:r>
      <w:r w:rsidRPr="00BC5743">
        <w:rPr>
          <w:rFonts w:ascii="Arial" w:hAnsi="Arial" w:cs="Arial"/>
          <w:bCs/>
          <w:sz w:val="24"/>
          <w:szCs w:val="24"/>
        </w:rPr>
        <w:t xml:space="preserve">and proposed </w:t>
      </w:r>
      <w:r w:rsidRPr="00BC5743">
        <w:rPr>
          <w:rFonts w:ascii="Arial" w:hAnsi="Arial" w:cs="Arial"/>
          <w:sz w:val="24"/>
          <w:szCs w:val="24"/>
        </w:rPr>
        <w:t xml:space="preserve">BTR developments </w:t>
      </w:r>
      <w:r w:rsidRPr="00BC5743">
        <w:rPr>
          <w:rFonts w:ascii="Arial" w:hAnsi="Arial" w:cs="Arial"/>
          <w:bCs/>
          <w:sz w:val="24"/>
          <w:szCs w:val="24"/>
        </w:rPr>
        <w:t xml:space="preserve">within a 1km radius </w:t>
      </w:r>
      <w:r w:rsidRPr="00BC5743">
        <w:rPr>
          <w:rFonts w:ascii="Arial" w:hAnsi="Arial" w:cs="Arial"/>
          <w:sz w:val="24"/>
          <w:szCs w:val="24"/>
        </w:rPr>
        <w:t xml:space="preserve">of the site to demonstrate: </w:t>
      </w:r>
    </w:p>
    <w:p w14:paraId="3C0470CF" w14:textId="77777777" w:rsidR="00FE0594" w:rsidRPr="00BC5743" w:rsidRDefault="00FE0594" w:rsidP="00FE0594">
      <w:pPr>
        <w:spacing w:after="0"/>
        <w:rPr>
          <w:rFonts w:ascii="Arial" w:hAnsi="Arial" w:cs="Arial"/>
          <w:sz w:val="24"/>
          <w:szCs w:val="24"/>
        </w:rPr>
      </w:pPr>
    </w:p>
    <w:p w14:paraId="11689C01" w14:textId="77777777" w:rsidR="00FE0594" w:rsidRPr="00BC5743" w:rsidRDefault="00FE0594" w:rsidP="00FE0594">
      <w:pPr>
        <w:pStyle w:val="ListParagraph"/>
        <w:numPr>
          <w:ilvl w:val="0"/>
          <w:numId w:val="6"/>
        </w:numPr>
        <w:spacing w:after="0"/>
        <w:contextualSpacing/>
        <w:rPr>
          <w:rFonts w:ascii="Arial" w:hAnsi="Arial" w:cs="Arial"/>
          <w:sz w:val="24"/>
          <w:szCs w:val="24"/>
        </w:rPr>
      </w:pPr>
      <w:proofErr w:type="gramStart"/>
      <w:r w:rsidRPr="00BC5743">
        <w:rPr>
          <w:rFonts w:ascii="Arial" w:hAnsi="Arial" w:cs="Arial"/>
          <w:sz w:val="24"/>
          <w:szCs w:val="24"/>
        </w:rPr>
        <w:t>that</w:t>
      </w:r>
      <w:proofErr w:type="gramEnd"/>
      <w:r w:rsidRPr="00BC5743">
        <w:rPr>
          <w:rFonts w:ascii="Arial" w:hAnsi="Arial" w:cs="Arial"/>
          <w:sz w:val="24"/>
          <w:szCs w:val="24"/>
        </w:rPr>
        <w:t xml:space="preserve"> the development would not result in the over concentration of one housing tenure in a particular area. </w:t>
      </w:r>
    </w:p>
    <w:p w14:paraId="75358DEE" w14:textId="77777777" w:rsidR="00FE0594" w:rsidRPr="00BC5743" w:rsidRDefault="00FE0594" w:rsidP="00FE0594">
      <w:pPr>
        <w:pStyle w:val="ListParagraph"/>
        <w:numPr>
          <w:ilvl w:val="0"/>
          <w:numId w:val="6"/>
        </w:numPr>
        <w:spacing w:after="0"/>
        <w:contextualSpacing/>
        <w:rPr>
          <w:rFonts w:ascii="Arial" w:eastAsia="Arial" w:hAnsi="Arial" w:cs="Arial"/>
          <w:bCs/>
          <w:sz w:val="24"/>
          <w:szCs w:val="24"/>
        </w:rPr>
      </w:pPr>
      <w:proofErr w:type="gramStart"/>
      <w:r w:rsidRPr="00BC5743">
        <w:rPr>
          <w:rFonts w:ascii="Arial" w:hAnsi="Arial" w:cs="Arial"/>
          <w:bCs/>
          <w:sz w:val="24"/>
          <w:szCs w:val="24"/>
        </w:rPr>
        <w:t>how</w:t>
      </w:r>
      <w:proofErr w:type="gramEnd"/>
      <w:r w:rsidRPr="00BC5743">
        <w:rPr>
          <w:rFonts w:ascii="Arial" w:hAnsi="Arial" w:cs="Arial"/>
          <w:bCs/>
          <w:sz w:val="24"/>
          <w:szCs w:val="24"/>
        </w:rPr>
        <w:t xml:space="preserve"> the development supports housing need, particularly with regard to tenure, unit size and accessibility with particular reference to the Dublin City Council Housing Need and Demand Assessment.</w:t>
      </w:r>
    </w:p>
    <w:p w14:paraId="5029E160" w14:textId="77777777" w:rsidR="00343BE4" w:rsidRPr="00BC5743" w:rsidRDefault="00343BE4" w:rsidP="00FE0594">
      <w:pPr>
        <w:pStyle w:val="Heading3"/>
        <w:rPr>
          <w:rFonts w:ascii="Arial" w:hAnsi="Arial" w:cs="Arial"/>
          <w:color w:val="auto"/>
        </w:rPr>
      </w:pPr>
    </w:p>
    <w:p w14:paraId="2292CCD0" w14:textId="195855F0" w:rsidR="00FE0594" w:rsidRPr="00BC5743" w:rsidRDefault="009D6BE4" w:rsidP="00FE0594">
      <w:pPr>
        <w:pStyle w:val="Heading3"/>
        <w:rPr>
          <w:rFonts w:ascii="Arial" w:hAnsi="Arial" w:cs="Arial"/>
          <w:color w:val="auto"/>
        </w:rPr>
      </w:pPr>
      <w:r w:rsidRPr="00BC5743">
        <w:rPr>
          <w:rFonts w:ascii="Arial" w:hAnsi="Arial" w:cs="Arial"/>
          <w:color w:val="auto"/>
        </w:rPr>
        <w:t>3.3.2</w:t>
      </w:r>
      <w:r w:rsidRPr="00BC5743">
        <w:rPr>
          <w:rFonts w:ascii="Arial" w:hAnsi="Arial" w:cs="Arial"/>
          <w:color w:val="auto"/>
        </w:rPr>
        <w:tab/>
      </w:r>
      <w:r w:rsidR="00FE0594" w:rsidRPr="00BC5743">
        <w:rPr>
          <w:rFonts w:ascii="Arial" w:hAnsi="Arial" w:cs="Arial"/>
          <w:color w:val="auto"/>
        </w:rPr>
        <w:t xml:space="preserve">Design Standards </w:t>
      </w:r>
    </w:p>
    <w:p w14:paraId="74C80A05" w14:textId="77777777" w:rsidR="00FE0594" w:rsidRPr="00BC5743" w:rsidRDefault="00FE0594" w:rsidP="00FE0594">
      <w:pPr>
        <w:rPr>
          <w:rFonts w:ascii="Arial" w:hAnsi="Arial" w:cs="Arial"/>
          <w:sz w:val="24"/>
          <w:szCs w:val="24"/>
        </w:rPr>
      </w:pPr>
      <w:r w:rsidRPr="00BC5743">
        <w:rPr>
          <w:rFonts w:ascii="Arial" w:hAnsi="Arial" w:cs="Arial"/>
          <w:sz w:val="24"/>
          <w:szCs w:val="24"/>
        </w:rPr>
        <w:t>The Sustainable Urban Development Design Standards for New Apartments set out specific planning policy requirements for “Build to Rent” developments. SPPR7 refers to the provision of resident support facilities (laundry, concierge, management facilities etc.) and resident services and amenities (sports facilities, resident lounge, function rooms, co-working spaces etc.).</w:t>
      </w:r>
    </w:p>
    <w:p w14:paraId="39356671" w14:textId="77777777" w:rsidR="00FE0594" w:rsidRPr="00BC5743" w:rsidRDefault="00FE0594" w:rsidP="00FE0594">
      <w:pPr>
        <w:rPr>
          <w:rFonts w:ascii="Arial" w:hAnsi="Arial" w:cs="Arial"/>
          <w:sz w:val="24"/>
          <w:szCs w:val="24"/>
        </w:rPr>
      </w:pPr>
      <w:r w:rsidRPr="00BC5743">
        <w:rPr>
          <w:rFonts w:ascii="Arial" w:hAnsi="Arial" w:cs="Arial"/>
          <w:sz w:val="24"/>
          <w:szCs w:val="24"/>
        </w:rPr>
        <w:t xml:space="preserve">Whist the guidelines do not provide for a quantitative standard residential support facilities and resident services and amenities, a general guideline of 3 sq. m. per person is recommended. This will be assessed on a case by case basis where the applicant can demonstrate a high standard of services and facilities. </w:t>
      </w:r>
    </w:p>
    <w:p w14:paraId="50A7C402" w14:textId="77777777" w:rsidR="00FE0594" w:rsidRPr="00BC5743" w:rsidRDefault="00FE0594" w:rsidP="00FE0594">
      <w:pPr>
        <w:rPr>
          <w:rFonts w:ascii="Arial" w:hAnsi="Arial" w:cs="Arial"/>
          <w:sz w:val="24"/>
          <w:szCs w:val="24"/>
        </w:rPr>
      </w:pPr>
      <w:r w:rsidRPr="00BC5743">
        <w:rPr>
          <w:rFonts w:ascii="Arial" w:hAnsi="Arial" w:cs="Arial"/>
          <w:sz w:val="24"/>
          <w:szCs w:val="24"/>
        </w:rPr>
        <w:t xml:space="preserve">SPPR8 refers to specific relaxations that can be applied to BTR scheme which differentiate BTR schemes from standard residential developments. </w:t>
      </w:r>
    </w:p>
    <w:p w14:paraId="4F175B17" w14:textId="77777777" w:rsidR="00FE0594" w:rsidRPr="00BC5743" w:rsidRDefault="00FE0594" w:rsidP="00FE0594">
      <w:pPr>
        <w:rPr>
          <w:rFonts w:ascii="Arial" w:hAnsi="Arial" w:cs="Arial"/>
          <w:sz w:val="24"/>
          <w:szCs w:val="24"/>
        </w:rPr>
      </w:pPr>
      <w:r w:rsidRPr="00BC5743">
        <w:rPr>
          <w:rFonts w:ascii="Arial" w:hAnsi="Arial" w:cs="Arial"/>
          <w:sz w:val="24"/>
          <w:szCs w:val="24"/>
        </w:rPr>
        <w:lastRenderedPageBreak/>
        <w:t xml:space="preserve">SPPR8 (ii) states that flexibility can be applied to the provision of storage space, private amenity space and communal space within a scheme at the discretion of the planning authority. </w:t>
      </w:r>
    </w:p>
    <w:p w14:paraId="4E0E5D71" w14:textId="77777777" w:rsidR="00FE0594" w:rsidRPr="00BC5743" w:rsidRDefault="00FE0594" w:rsidP="00FE0594">
      <w:pPr>
        <w:rPr>
          <w:rFonts w:ascii="Arial" w:hAnsi="Arial" w:cs="Arial"/>
          <w:sz w:val="24"/>
          <w:szCs w:val="24"/>
        </w:rPr>
      </w:pPr>
      <w:r w:rsidRPr="00BC5743">
        <w:rPr>
          <w:rFonts w:ascii="Arial" w:hAnsi="Arial" w:cs="Arial"/>
          <w:sz w:val="24"/>
          <w:szCs w:val="24"/>
        </w:rPr>
        <w:t xml:space="preserve">There is a general presumption against excessive derogation of these requirements, in particular, private amenity space. Where derogations of private amenity space are sought, there will be an onus on the applicant to demonstrate that the quality of the unit is of a higher standard, e.g. in excess of the minimum floor area, contains unique design features and that the loss/reduction of private amenity is compensated within the communal amenity provision, e.g. if a unit requires 5 sq. m. of private amenity space, this quantum should be offset to provide for an additional 5 sq. m. communal amenity space. </w:t>
      </w:r>
    </w:p>
    <w:p w14:paraId="18239AF5" w14:textId="77777777" w:rsidR="00FE0594" w:rsidRPr="00BC5743" w:rsidRDefault="00FE0594" w:rsidP="00FE0594">
      <w:pPr>
        <w:rPr>
          <w:rFonts w:ascii="Arial" w:hAnsi="Arial" w:cs="Arial"/>
          <w:sz w:val="24"/>
          <w:szCs w:val="24"/>
        </w:rPr>
      </w:pPr>
      <w:r w:rsidRPr="00BC5743">
        <w:rPr>
          <w:rFonts w:ascii="Arial" w:hAnsi="Arial" w:cs="Arial"/>
          <w:sz w:val="24"/>
          <w:szCs w:val="24"/>
        </w:rPr>
        <w:t xml:space="preserve">Dublin City Council will seek to ensure a high level of amenity is provided within BTR schemes. All applications should seek to demonstrate compliance with the relevant standards for storage, private and communal open space as set out in Appendix 1 of the Sustainable Urban Housing: Design Standards for New Apartments. </w:t>
      </w:r>
    </w:p>
    <w:p w14:paraId="28FC79DA" w14:textId="77777777" w:rsidR="00FE0594" w:rsidRPr="00BC5743" w:rsidRDefault="00FE0594" w:rsidP="00FE0594">
      <w:pPr>
        <w:rPr>
          <w:rFonts w:ascii="Arial" w:hAnsi="Arial" w:cs="Arial"/>
          <w:sz w:val="24"/>
          <w:szCs w:val="24"/>
        </w:rPr>
      </w:pPr>
      <w:r w:rsidRPr="00BC5743">
        <w:rPr>
          <w:rFonts w:ascii="Arial" w:hAnsi="Arial" w:cs="Arial"/>
          <w:sz w:val="24"/>
          <w:szCs w:val="24"/>
        </w:rPr>
        <w:t>In all cases, the onus will be on the project proposer to demonstrate the overall quality of the facilities provided and that residents will enjoy an enhanced overall standard of amenity.</w:t>
      </w:r>
    </w:p>
    <w:p w14:paraId="78DB79A8" w14:textId="5E538F71" w:rsidR="00FE0594" w:rsidRPr="00BC5743" w:rsidRDefault="009D6BE4" w:rsidP="00FE0594">
      <w:pPr>
        <w:pStyle w:val="Heading3"/>
        <w:rPr>
          <w:rFonts w:ascii="Arial" w:hAnsi="Arial" w:cs="Arial"/>
          <w:color w:val="auto"/>
        </w:rPr>
      </w:pPr>
      <w:r w:rsidRPr="00BC5743">
        <w:rPr>
          <w:rFonts w:ascii="Arial" w:hAnsi="Arial" w:cs="Arial"/>
          <w:color w:val="auto"/>
        </w:rPr>
        <w:t>3.3.3</w:t>
      </w:r>
      <w:r w:rsidRPr="00BC5743">
        <w:rPr>
          <w:rFonts w:ascii="Arial" w:hAnsi="Arial" w:cs="Arial"/>
          <w:color w:val="auto"/>
        </w:rPr>
        <w:tab/>
      </w:r>
      <w:r w:rsidR="00FE0594" w:rsidRPr="00BC5743">
        <w:rPr>
          <w:rFonts w:ascii="Arial" w:hAnsi="Arial" w:cs="Arial"/>
          <w:color w:val="auto"/>
        </w:rPr>
        <w:t>Communal and Public Open Space</w:t>
      </w:r>
    </w:p>
    <w:p w14:paraId="16D71D97" w14:textId="0C0B55D1" w:rsidR="00FE0594" w:rsidRPr="00BC5743" w:rsidRDefault="00D646E4" w:rsidP="00FE0594">
      <w:pPr>
        <w:rPr>
          <w:rFonts w:ascii="Arial" w:hAnsi="Arial" w:cs="Arial"/>
          <w:sz w:val="24"/>
          <w:szCs w:val="24"/>
        </w:rPr>
      </w:pPr>
      <w:r w:rsidRPr="00BC5743">
        <w:rPr>
          <w:rFonts w:ascii="Arial" w:hAnsi="Arial" w:cs="Arial"/>
          <w:sz w:val="24"/>
          <w:szCs w:val="24"/>
        </w:rPr>
        <w:t>All Build</w:t>
      </w:r>
      <w:r w:rsidR="00FE0594" w:rsidRPr="00BC5743">
        <w:rPr>
          <w:rFonts w:ascii="Arial" w:hAnsi="Arial" w:cs="Arial"/>
          <w:sz w:val="24"/>
          <w:szCs w:val="24"/>
        </w:rPr>
        <w:t xml:space="preserve"> to Rent developments will be required to provide for the same quantum of external communal open space and public open space as set out for standard apartment developments, see Section 15.6.12 and 15.8.6.</w:t>
      </w:r>
    </w:p>
    <w:p w14:paraId="0F9EFF5C" w14:textId="6E9FC6D7" w:rsidR="009703E0" w:rsidRPr="009703E0" w:rsidRDefault="005851FD" w:rsidP="008940ED">
      <w:pPr>
        <w:spacing w:after="100"/>
        <w:rPr>
          <w:rFonts w:ascii="Arial" w:hAnsi="Arial" w:cs="Arial"/>
          <w:b/>
          <w:sz w:val="24"/>
          <w:szCs w:val="24"/>
        </w:rPr>
      </w:pPr>
      <w:r>
        <w:rPr>
          <w:rFonts w:ascii="Arial" w:hAnsi="Arial" w:cs="Arial"/>
          <w:b/>
          <w:sz w:val="24"/>
          <w:szCs w:val="24"/>
        </w:rPr>
        <w:t>END</w:t>
      </w:r>
    </w:p>
    <w:sectPr w:rsidR="009703E0" w:rsidRPr="009703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7AB9E" w14:textId="77777777" w:rsidR="005043AA" w:rsidRDefault="005043AA" w:rsidP="005043AA">
      <w:pPr>
        <w:spacing w:after="0" w:line="240" w:lineRule="auto"/>
      </w:pPr>
      <w:r>
        <w:separator/>
      </w:r>
    </w:p>
  </w:endnote>
  <w:endnote w:type="continuationSeparator" w:id="0">
    <w:p w14:paraId="2D93EA0E" w14:textId="77777777" w:rsidR="005043AA" w:rsidRDefault="005043AA" w:rsidP="0050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2EB7A" w14:textId="2E097958" w:rsidR="005043AA" w:rsidRDefault="005043AA" w:rsidP="0013244B">
    <w:pPr>
      <w:pStyle w:val="Footer"/>
      <w:jc w:val="right"/>
    </w:pPr>
    <w:r>
      <w:t>Adopted by Dublin City Council on 8</w:t>
    </w:r>
    <w:r w:rsidRPr="005043AA">
      <w:rPr>
        <w:vertAlign w:val="superscript"/>
      </w:rPr>
      <w:t>th</w:t>
    </w:r>
    <w:r>
      <w:t xml:space="preserve"> April 2024</w:t>
    </w:r>
  </w:p>
  <w:p w14:paraId="16D33F9C" w14:textId="77777777" w:rsidR="005043AA" w:rsidRDefault="005043AA" w:rsidP="0013244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602B0" w14:textId="77777777" w:rsidR="005043AA" w:rsidRDefault="005043AA" w:rsidP="005043AA">
      <w:pPr>
        <w:spacing w:after="0" w:line="240" w:lineRule="auto"/>
      </w:pPr>
      <w:r>
        <w:separator/>
      </w:r>
    </w:p>
  </w:footnote>
  <w:footnote w:type="continuationSeparator" w:id="0">
    <w:p w14:paraId="3564F18C" w14:textId="77777777" w:rsidR="005043AA" w:rsidRDefault="005043AA" w:rsidP="0050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CA353E"/>
    <w:multiLevelType w:val="hybridMultilevel"/>
    <w:tmpl w:val="9C1450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FC5A68"/>
    <w:multiLevelType w:val="hybridMultilevel"/>
    <w:tmpl w:val="42EC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62C1A"/>
    <w:multiLevelType w:val="hybridMultilevel"/>
    <w:tmpl w:val="4AA61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0A1D20"/>
    <w:multiLevelType w:val="hybridMultilevel"/>
    <w:tmpl w:val="47C60918"/>
    <w:lvl w:ilvl="0" w:tplc="C3E49F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AF511C"/>
    <w:multiLevelType w:val="hybridMultilevel"/>
    <w:tmpl w:val="A5181E58"/>
    <w:lvl w:ilvl="0" w:tplc="EAC66038">
      <w:start w:val="3"/>
      <w:numFmt w:val="bullet"/>
      <w:lvlText w:val="-"/>
      <w:lvlJc w:val="left"/>
      <w:pPr>
        <w:ind w:left="420" w:hanging="360"/>
      </w:pPr>
      <w:rPr>
        <w:rFonts w:ascii="Arial" w:eastAsia="Arial" w:hAnsi="Arial" w:cs="Aria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6" w15:restartNumberingAfterBreak="0">
    <w:nsid w:val="2E34469C"/>
    <w:multiLevelType w:val="hybridMultilevel"/>
    <w:tmpl w:val="1C6E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C71A04"/>
    <w:multiLevelType w:val="hybridMultilevel"/>
    <w:tmpl w:val="2D06CEE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42C3953"/>
    <w:multiLevelType w:val="hybridMultilevel"/>
    <w:tmpl w:val="D062E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A6C0FF8"/>
    <w:multiLevelType w:val="multilevel"/>
    <w:tmpl w:val="C3FC4A52"/>
    <w:lvl w:ilvl="0">
      <w:start w:val="1"/>
      <w:numFmt w:val="decimal"/>
      <w:lvlText w:val="%1.0"/>
      <w:lvlJc w:val="left"/>
      <w:pPr>
        <w:ind w:left="720" w:hanging="720"/>
      </w:pPr>
      <w:rPr>
        <w:rFonts w:hint="default"/>
        <w:b w:val="0"/>
        <w:sz w:val="24"/>
      </w:rPr>
    </w:lvl>
    <w:lvl w:ilvl="1">
      <w:start w:val="1"/>
      <w:numFmt w:val="decimal"/>
      <w:lvlText w:val="%1.%2"/>
      <w:lvlJc w:val="left"/>
      <w:pPr>
        <w:ind w:left="1440" w:hanging="72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4320" w:hanging="1440"/>
      </w:pPr>
      <w:rPr>
        <w:rFonts w:hint="default"/>
        <w:b w:val="0"/>
        <w:sz w:val="24"/>
      </w:rPr>
    </w:lvl>
    <w:lvl w:ilvl="5">
      <w:start w:val="1"/>
      <w:numFmt w:val="decimal"/>
      <w:lvlText w:val="%1.%2.%3.%4.%5.%6"/>
      <w:lvlJc w:val="left"/>
      <w:pPr>
        <w:ind w:left="5400" w:hanging="1800"/>
      </w:pPr>
      <w:rPr>
        <w:rFonts w:hint="default"/>
        <w:b w:val="0"/>
        <w:sz w:val="24"/>
      </w:rPr>
    </w:lvl>
    <w:lvl w:ilvl="6">
      <w:start w:val="1"/>
      <w:numFmt w:val="decimal"/>
      <w:lvlText w:val="%1.%2.%3.%4.%5.%6.%7"/>
      <w:lvlJc w:val="left"/>
      <w:pPr>
        <w:ind w:left="6120" w:hanging="1800"/>
      </w:pPr>
      <w:rPr>
        <w:rFonts w:hint="default"/>
        <w:b w:val="0"/>
        <w:sz w:val="24"/>
      </w:rPr>
    </w:lvl>
    <w:lvl w:ilvl="7">
      <w:start w:val="1"/>
      <w:numFmt w:val="decimal"/>
      <w:lvlText w:val="%1.%2.%3.%4.%5.%6.%7.%8"/>
      <w:lvlJc w:val="left"/>
      <w:pPr>
        <w:ind w:left="7200" w:hanging="2160"/>
      </w:pPr>
      <w:rPr>
        <w:rFonts w:hint="default"/>
        <w:b w:val="0"/>
        <w:sz w:val="24"/>
      </w:rPr>
    </w:lvl>
    <w:lvl w:ilvl="8">
      <w:start w:val="1"/>
      <w:numFmt w:val="decimal"/>
      <w:lvlText w:val="%1.%2.%3.%4.%5.%6.%7.%8.%9"/>
      <w:lvlJc w:val="left"/>
      <w:pPr>
        <w:ind w:left="8280" w:hanging="2520"/>
      </w:pPr>
      <w:rPr>
        <w:rFonts w:hint="default"/>
        <w:b w:val="0"/>
        <w:sz w:val="24"/>
      </w:rPr>
    </w:lvl>
  </w:abstractNum>
  <w:abstractNum w:abstractNumId="10" w15:restartNumberingAfterBreak="0">
    <w:nsid w:val="3D517D24"/>
    <w:multiLevelType w:val="hybridMultilevel"/>
    <w:tmpl w:val="61488BE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C90149"/>
    <w:multiLevelType w:val="hybridMultilevel"/>
    <w:tmpl w:val="11DED3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711DEE"/>
    <w:multiLevelType w:val="hybridMultilevel"/>
    <w:tmpl w:val="C7FA6B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EB00DB"/>
    <w:multiLevelType w:val="hybridMultilevel"/>
    <w:tmpl w:val="F4340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6A47347"/>
    <w:multiLevelType w:val="hybridMultilevel"/>
    <w:tmpl w:val="63CC0892"/>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A00552"/>
    <w:multiLevelType w:val="hybridMultilevel"/>
    <w:tmpl w:val="7A40813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BBC6249"/>
    <w:multiLevelType w:val="hybridMultilevel"/>
    <w:tmpl w:val="A7E6C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E6616BC"/>
    <w:multiLevelType w:val="hybridMultilevel"/>
    <w:tmpl w:val="C1D6A41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AF25CB9"/>
    <w:multiLevelType w:val="hybridMultilevel"/>
    <w:tmpl w:val="A91C095C"/>
    <w:lvl w:ilvl="0" w:tplc="C60067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17"/>
  </w:num>
  <w:num w:numId="3">
    <w:abstractNumId w:val="12"/>
  </w:num>
  <w:num w:numId="4">
    <w:abstractNumId w:val="11"/>
  </w:num>
  <w:num w:numId="5">
    <w:abstractNumId w:val="3"/>
  </w:num>
  <w:num w:numId="6">
    <w:abstractNumId w:val="2"/>
  </w:num>
  <w:num w:numId="7">
    <w:abstractNumId w:val="4"/>
  </w:num>
  <w:num w:numId="8">
    <w:abstractNumId w:val="14"/>
  </w:num>
  <w:num w:numId="9">
    <w:abstractNumId w:val="10"/>
  </w:num>
  <w:num w:numId="10">
    <w:abstractNumId w:val="1"/>
  </w:num>
  <w:num w:numId="11">
    <w:abstractNumId w:val="7"/>
  </w:num>
  <w:num w:numId="12">
    <w:abstractNumId w:val="13"/>
  </w:num>
  <w:num w:numId="13">
    <w:abstractNumId w:val="0"/>
  </w:num>
  <w:num w:numId="14">
    <w:abstractNumId w:val="5"/>
  </w:num>
  <w:num w:numId="15">
    <w:abstractNumId w:val="15"/>
  </w:num>
  <w:num w:numId="16">
    <w:abstractNumId w:val="9"/>
  </w:num>
  <w:num w:numId="17">
    <w:abstractNumId w:val="8"/>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8D8"/>
    <w:rsid w:val="000025B9"/>
    <w:rsid w:val="00003F54"/>
    <w:rsid w:val="000057CB"/>
    <w:rsid w:val="00021723"/>
    <w:rsid w:val="00022566"/>
    <w:rsid w:val="00022E52"/>
    <w:rsid w:val="000240A1"/>
    <w:rsid w:val="000429A2"/>
    <w:rsid w:val="000464DE"/>
    <w:rsid w:val="00047981"/>
    <w:rsid w:val="00050E04"/>
    <w:rsid w:val="0007493A"/>
    <w:rsid w:val="00082C40"/>
    <w:rsid w:val="00083A96"/>
    <w:rsid w:val="00086672"/>
    <w:rsid w:val="000946EC"/>
    <w:rsid w:val="000A0248"/>
    <w:rsid w:val="000B28B0"/>
    <w:rsid w:val="000B4B2D"/>
    <w:rsid w:val="000B5352"/>
    <w:rsid w:val="000B70F0"/>
    <w:rsid w:val="000C12BE"/>
    <w:rsid w:val="000C246F"/>
    <w:rsid w:val="000C411B"/>
    <w:rsid w:val="000C47C8"/>
    <w:rsid w:val="000C604F"/>
    <w:rsid w:val="000D0477"/>
    <w:rsid w:val="000E14EE"/>
    <w:rsid w:val="000E69FC"/>
    <w:rsid w:val="00102A24"/>
    <w:rsid w:val="001048BB"/>
    <w:rsid w:val="00105060"/>
    <w:rsid w:val="00112D1B"/>
    <w:rsid w:val="00123784"/>
    <w:rsid w:val="0012607A"/>
    <w:rsid w:val="001305ED"/>
    <w:rsid w:val="0013244B"/>
    <w:rsid w:val="00134F4F"/>
    <w:rsid w:val="00152D3C"/>
    <w:rsid w:val="00154DC5"/>
    <w:rsid w:val="00155B0A"/>
    <w:rsid w:val="00173410"/>
    <w:rsid w:val="001760A0"/>
    <w:rsid w:val="00183527"/>
    <w:rsid w:val="001B005E"/>
    <w:rsid w:val="001C128E"/>
    <w:rsid w:val="001D0425"/>
    <w:rsid w:val="001E6D87"/>
    <w:rsid w:val="001F163C"/>
    <w:rsid w:val="001F32B1"/>
    <w:rsid w:val="00201A37"/>
    <w:rsid w:val="00202EAB"/>
    <w:rsid w:val="002044B2"/>
    <w:rsid w:val="00207C26"/>
    <w:rsid w:val="00220202"/>
    <w:rsid w:val="002257DF"/>
    <w:rsid w:val="0022585B"/>
    <w:rsid w:val="00230979"/>
    <w:rsid w:val="00242D46"/>
    <w:rsid w:val="00242EDB"/>
    <w:rsid w:val="002430E2"/>
    <w:rsid w:val="002529E5"/>
    <w:rsid w:val="002611D6"/>
    <w:rsid w:val="0027588E"/>
    <w:rsid w:val="00276D88"/>
    <w:rsid w:val="00290D90"/>
    <w:rsid w:val="00296C56"/>
    <w:rsid w:val="00296E20"/>
    <w:rsid w:val="002A1116"/>
    <w:rsid w:val="002A686F"/>
    <w:rsid w:val="002B3668"/>
    <w:rsid w:val="002C0A7B"/>
    <w:rsid w:val="002C1CDE"/>
    <w:rsid w:val="002C525F"/>
    <w:rsid w:val="002C5DA5"/>
    <w:rsid w:val="002E3D8D"/>
    <w:rsid w:val="002F120A"/>
    <w:rsid w:val="00301A56"/>
    <w:rsid w:val="003072CD"/>
    <w:rsid w:val="003178D0"/>
    <w:rsid w:val="0033368F"/>
    <w:rsid w:val="00334358"/>
    <w:rsid w:val="00335F50"/>
    <w:rsid w:val="0033687D"/>
    <w:rsid w:val="00343BE4"/>
    <w:rsid w:val="00350BD7"/>
    <w:rsid w:val="00354990"/>
    <w:rsid w:val="00360BE7"/>
    <w:rsid w:val="00370216"/>
    <w:rsid w:val="003808CE"/>
    <w:rsid w:val="00387F2E"/>
    <w:rsid w:val="00393343"/>
    <w:rsid w:val="003945A2"/>
    <w:rsid w:val="00396DFF"/>
    <w:rsid w:val="003A3BEC"/>
    <w:rsid w:val="003A5162"/>
    <w:rsid w:val="003A6FD3"/>
    <w:rsid w:val="003A75BA"/>
    <w:rsid w:val="003B6227"/>
    <w:rsid w:val="003B76E8"/>
    <w:rsid w:val="003C74EA"/>
    <w:rsid w:val="003D2E73"/>
    <w:rsid w:val="003E45A9"/>
    <w:rsid w:val="0041475F"/>
    <w:rsid w:val="004234B1"/>
    <w:rsid w:val="004257B9"/>
    <w:rsid w:val="00440E5A"/>
    <w:rsid w:val="0045586C"/>
    <w:rsid w:val="00457085"/>
    <w:rsid w:val="0046730A"/>
    <w:rsid w:val="00472C22"/>
    <w:rsid w:val="00474258"/>
    <w:rsid w:val="00494325"/>
    <w:rsid w:val="004A19D0"/>
    <w:rsid w:val="004B3D43"/>
    <w:rsid w:val="004C669E"/>
    <w:rsid w:val="004D0A82"/>
    <w:rsid w:val="004D2589"/>
    <w:rsid w:val="004E6B4D"/>
    <w:rsid w:val="004F21F4"/>
    <w:rsid w:val="005019DB"/>
    <w:rsid w:val="005043AA"/>
    <w:rsid w:val="00513941"/>
    <w:rsid w:val="00562915"/>
    <w:rsid w:val="00563DCC"/>
    <w:rsid w:val="0057253A"/>
    <w:rsid w:val="00574980"/>
    <w:rsid w:val="0058055F"/>
    <w:rsid w:val="005851FD"/>
    <w:rsid w:val="005A195E"/>
    <w:rsid w:val="005C04E7"/>
    <w:rsid w:val="005C0BA8"/>
    <w:rsid w:val="005C7397"/>
    <w:rsid w:val="005E4305"/>
    <w:rsid w:val="005E4E81"/>
    <w:rsid w:val="00605E79"/>
    <w:rsid w:val="00607797"/>
    <w:rsid w:val="0061564B"/>
    <w:rsid w:val="006166AB"/>
    <w:rsid w:val="006243B1"/>
    <w:rsid w:val="00627097"/>
    <w:rsid w:val="00631859"/>
    <w:rsid w:val="00641484"/>
    <w:rsid w:val="0066691B"/>
    <w:rsid w:val="00666CC8"/>
    <w:rsid w:val="00677B73"/>
    <w:rsid w:val="006800CE"/>
    <w:rsid w:val="0068139A"/>
    <w:rsid w:val="00682C21"/>
    <w:rsid w:val="00683178"/>
    <w:rsid w:val="0068560F"/>
    <w:rsid w:val="00690725"/>
    <w:rsid w:val="00696251"/>
    <w:rsid w:val="006966C8"/>
    <w:rsid w:val="006A1097"/>
    <w:rsid w:val="006A1D2D"/>
    <w:rsid w:val="006A54E6"/>
    <w:rsid w:val="006A63B6"/>
    <w:rsid w:val="006A7B0E"/>
    <w:rsid w:val="006B6595"/>
    <w:rsid w:val="006C6F0B"/>
    <w:rsid w:val="006D512B"/>
    <w:rsid w:val="006E6682"/>
    <w:rsid w:val="006F2C88"/>
    <w:rsid w:val="00706F68"/>
    <w:rsid w:val="00717393"/>
    <w:rsid w:val="007173DA"/>
    <w:rsid w:val="00726A78"/>
    <w:rsid w:val="007312AA"/>
    <w:rsid w:val="0073310A"/>
    <w:rsid w:val="00741DC8"/>
    <w:rsid w:val="00747DCB"/>
    <w:rsid w:val="00757C50"/>
    <w:rsid w:val="00764486"/>
    <w:rsid w:val="0078298A"/>
    <w:rsid w:val="007922E5"/>
    <w:rsid w:val="007A078E"/>
    <w:rsid w:val="007A7F45"/>
    <w:rsid w:val="007C617E"/>
    <w:rsid w:val="007C6BEA"/>
    <w:rsid w:val="007D7B16"/>
    <w:rsid w:val="007E1D9C"/>
    <w:rsid w:val="00800CBD"/>
    <w:rsid w:val="00801797"/>
    <w:rsid w:val="008019B4"/>
    <w:rsid w:val="00806D38"/>
    <w:rsid w:val="008101F8"/>
    <w:rsid w:val="00831813"/>
    <w:rsid w:val="008318D1"/>
    <w:rsid w:val="008323A3"/>
    <w:rsid w:val="008324C9"/>
    <w:rsid w:val="00835A1B"/>
    <w:rsid w:val="008467AB"/>
    <w:rsid w:val="00851F89"/>
    <w:rsid w:val="008537FB"/>
    <w:rsid w:val="008561CD"/>
    <w:rsid w:val="00856732"/>
    <w:rsid w:val="00861495"/>
    <w:rsid w:val="00861B68"/>
    <w:rsid w:val="00865693"/>
    <w:rsid w:val="00872E36"/>
    <w:rsid w:val="008747CA"/>
    <w:rsid w:val="00884723"/>
    <w:rsid w:val="00885651"/>
    <w:rsid w:val="00891D10"/>
    <w:rsid w:val="00893EE9"/>
    <w:rsid w:val="008940ED"/>
    <w:rsid w:val="0089549F"/>
    <w:rsid w:val="00895F72"/>
    <w:rsid w:val="008B277D"/>
    <w:rsid w:val="008B49AD"/>
    <w:rsid w:val="008B662E"/>
    <w:rsid w:val="008C7BE4"/>
    <w:rsid w:val="008E414F"/>
    <w:rsid w:val="0091015F"/>
    <w:rsid w:val="0091143F"/>
    <w:rsid w:val="00912571"/>
    <w:rsid w:val="00913291"/>
    <w:rsid w:val="00913498"/>
    <w:rsid w:val="00933ED0"/>
    <w:rsid w:val="00942FA4"/>
    <w:rsid w:val="009448BF"/>
    <w:rsid w:val="0095261F"/>
    <w:rsid w:val="00966A33"/>
    <w:rsid w:val="00967815"/>
    <w:rsid w:val="009703E0"/>
    <w:rsid w:val="00983BEB"/>
    <w:rsid w:val="009856BB"/>
    <w:rsid w:val="00990476"/>
    <w:rsid w:val="00994A3B"/>
    <w:rsid w:val="009C089E"/>
    <w:rsid w:val="009D05E3"/>
    <w:rsid w:val="009D5FD9"/>
    <w:rsid w:val="009D6BE4"/>
    <w:rsid w:val="009D7145"/>
    <w:rsid w:val="009F599C"/>
    <w:rsid w:val="009F7728"/>
    <w:rsid w:val="00A065E7"/>
    <w:rsid w:val="00A4138D"/>
    <w:rsid w:val="00A446D5"/>
    <w:rsid w:val="00A4494B"/>
    <w:rsid w:val="00A51A74"/>
    <w:rsid w:val="00A522DF"/>
    <w:rsid w:val="00A556E4"/>
    <w:rsid w:val="00A60363"/>
    <w:rsid w:val="00A60CF2"/>
    <w:rsid w:val="00A639C9"/>
    <w:rsid w:val="00A64CC7"/>
    <w:rsid w:val="00A86028"/>
    <w:rsid w:val="00A87BB7"/>
    <w:rsid w:val="00AA1D51"/>
    <w:rsid w:val="00AA7336"/>
    <w:rsid w:val="00AA73C5"/>
    <w:rsid w:val="00AB675F"/>
    <w:rsid w:val="00AB740F"/>
    <w:rsid w:val="00AC7559"/>
    <w:rsid w:val="00AE231C"/>
    <w:rsid w:val="00AE2C4D"/>
    <w:rsid w:val="00AF576D"/>
    <w:rsid w:val="00AF74DE"/>
    <w:rsid w:val="00B03775"/>
    <w:rsid w:val="00B079DB"/>
    <w:rsid w:val="00B133C8"/>
    <w:rsid w:val="00B20625"/>
    <w:rsid w:val="00B234A8"/>
    <w:rsid w:val="00B26556"/>
    <w:rsid w:val="00B331B9"/>
    <w:rsid w:val="00B34714"/>
    <w:rsid w:val="00B4746B"/>
    <w:rsid w:val="00B500B6"/>
    <w:rsid w:val="00B54119"/>
    <w:rsid w:val="00B54C64"/>
    <w:rsid w:val="00B6171E"/>
    <w:rsid w:val="00B64BD3"/>
    <w:rsid w:val="00B77469"/>
    <w:rsid w:val="00B82700"/>
    <w:rsid w:val="00B84374"/>
    <w:rsid w:val="00B84A34"/>
    <w:rsid w:val="00B93380"/>
    <w:rsid w:val="00BA0447"/>
    <w:rsid w:val="00BA7F3A"/>
    <w:rsid w:val="00BB3639"/>
    <w:rsid w:val="00BB74F9"/>
    <w:rsid w:val="00BB772A"/>
    <w:rsid w:val="00BC2914"/>
    <w:rsid w:val="00BC2C99"/>
    <w:rsid w:val="00BC5743"/>
    <w:rsid w:val="00BC5FA0"/>
    <w:rsid w:val="00BD31B5"/>
    <w:rsid w:val="00BD3F17"/>
    <w:rsid w:val="00BF3F9F"/>
    <w:rsid w:val="00C31EB7"/>
    <w:rsid w:val="00C37419"/>
    <w:rsid w:val="00C435E6"/>
    <w:rsid w:val="00C530A6"/>
    <w:rsid w:val="00C60214"/>
    <w:rsid w:val="00C61A10"/>
    <w:rsid w:val="00C82A65"/>
    <w:rsid w:val="00C85F79"/>
    <w:rsid w:val="00CB0CE0"/>
    <w:rsid w:val="00CC0C85"/>
    <w:rsid w:val="00CD4775"/>
    <w:rsid w:val="00CE62E8"/>
    <w:rsid w:val="00CF2C9A"/>
    <w:rsid w:val="00D02B5F"/>
    <w:rsid w:val="00D13AEE"/>
    <w:rsid w:val="00D221EF"/>
    <w:rsid w:val="00D33631"/>
    <w:rsid w:val="00D40532"/>
    <w:rsid w:val="00D40CC3"/>
    <w:rsid w:val="00D52FFB"/>
    <w:rsid w:val="00D646E4"/>
    <w:rsid w:val="00D702C3"/>
    <w:rsid w:val="00D864D1"/>
    <w:rsid w:val="00D87D52"/>
    <w:rsid w:val="00D87E14"/>
    <w:rsid w:val="00D938D6"/>
    <w:rsid w:val="00D9426E"/>
    <w:rsid w:val="00D944EF"/>
    <w:rsid w:val="00D95A8D"/>
    <w:rsid w:val="00D96F57"/>
    <w:rsid w:val="00DB18A1"/>
    <w:rsid w:val="00DB1BCC"/>
    <w:rsid w:val="00DB42DE"/>
    <w:rsid w:val="00DD331B"/>
    <w:rsid w:val="00DD3E43"/>
    <w:rsid w:val="00DE2560"/>
    <w:rsid w:val="00DE4807"/>
    <w:rsid w:val="00E02451"/>
    <w:rsid w:val="00E02999"/>
    <w:rsid w:val="00E03921"/>
    <w:rsid w:val="00E105F0"/>
    <w:rsid w:val="00E213FF"/>
    <w:rsid w:val="00E30EDB"/>
    <w:rsid w:val="00E44B20"/>
    <w:rsid w:val="00E51CD1"/>
    <w:rsid w:val="00E736A9"/>
    <w:rsid w:val="00E81E65"/>
    <w:rsid w:val="00EA0457"/>
    <w:rsid w:val="00EA2CFF"/>
    <w:rsid w:val="00EA78EA"/>
    <w:rsid w:val="00EB1DFC"/>
    <w:rsid w:val="00EB6FBF"/>
    <w:rsid w:val="00ED0006"/>
    <w:rsid w:val="00ED0C84"/>
    <w:rsid w:val="00ED45E2"/>
    <w:rsid w:val="00EE28D8"/>
    <w:rsid w:val="00EE6937"/>
    <w:rsid w:val="00F10366"/>
    <w:rsid w:val="00F12001"/>
    <w:rsid w:val="00F12711"/>
    <w:rsid w:val="00F14FD8"/>
    <w:rsid w:val="00F34763"/>
    <w:rsid w:val="00F367F2"/>
    <w:rsid w:val="00F36885"/>
    <w:rsid w:val="00F422F0"/>
    <w:rsid w:val="00F43C0D"/>
    <w:rsid w:val="00F43FA4"/>
    <w:rsid w:val="00F51FD8"/>
    <w:rsid w:val="00F62016"/>
    <w:rsid w:val="00F659AD"/>
    <w:rsid w:val="00F7614F"/>
    <w:rsid w:val="00F87952"/>
    <w:rsid w:val="00F90F64"/>
    <w:rsid w:val="00F9144C"/>
    <w:rsid w:val="00F92F84"/>
    <w:rsid w:val="00F95D90"/>
    <w:rsid w:val="00FA6F6E"/>
    <w:rsid w:val="00FB3174"/>
    <w:rsid w:val="00FB659D"/>
    <w:rsid w:val="00FC0F7D"/>
    <w:rsid w:val="00FC506F"/>
    <w:rsid w:val="00FD1CE3"/>
    <w:rsid w:val="00FE0594"/>
    <w:rsid w:val="00FE0B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FE65"/>
  <w15:chartTrackingRefBased/>
  <w15:docId w15:val="{5B66C438-3597-4B99-A235-E7BDFAB0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56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34763"/>
    <w:pPr>
      <w:keepNext/>
      <w:tabs>
        <w:tab w:val="left" w:pos="2160"/>
      </w:tabs>
      <w:spacing w:after="0" w:line="240" w:lineRule="auto"/>
      <w:outlineLvl w:val="0"/>
    </w:pPr>
    <w:rPr>
      <w:rFonts w:ascii="Helvetica" w:eastAsia="Times New Roman" w:hAnsi="Helvetica"/>
      <w:b/>
      <w:bCs/>
      <w:sz w:val="20"/>
      <w:szCs w:val="24"/>
    </w:rPr>
  </w:style>
  <w:style w:type="paragraph" w:styleId="Heading2">
    <w:name w:val="heading 2"/>
    <w:basedOn w:val="Normal"/>
    <w:next w:val="Normal"/>
    <w:link w:val="Heading2Char"/>
    <w:uiPriority w:val="9"/>
    <w:semiHidden/>
    <w:unhideWhenUsed/>
    <w:qFormat/>
    <w:rsid w:val="00B133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133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2E3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872E3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DE2560"/>
    <w:pPr>
      <w:ind w:left="720"/>
    </w:pPr>
  </w:style>
  <w:style w:type="paragraph" w:styleId="NormalWeb">
    <w:name w:val="Normal (Web)"/>
    <w:basedOn w:val="Normal"/>
    <w:uiPriority w:val="99"/>
    <w:unhideWhenUsed/>
    <w:rsid w:val="00DE2560"/>
    <w:pPr>
      <w:spacing w:after="225" w:line="240" w:lineRule="auto"/>
    </w:pPr>
    <w:rPr>
      <w:rFonts w:ascii="Times New Roman" w:eastAsia="Times New Roman" w:hAnsi="Times New Roman"/>
      <w:sz w:val="24"/>
      <w:szCs w:val="24"/>
      <w:lang w:eastAsia="en-IE"/>
    </w:rPr>
  </w:style>
  <w:style w:type="paragraph" w:customStyle="1" w:styleId="Default">
    <w:name w:val="Default"/>
    <w:rsid w:val="00DE2560"/>
    <w:pPr>
      <w:widowControl w:val="0"/>
      <w:autoSpaceDE w:val="0"/>
      <w:autoSpaceDN w:val="0"/>
      <w:adjustRightInd w:val="0"/>
      <w:spacing w:after="0" w:line="240" w:lineRule="auto"/>
    </w:pPr>
    <w:rPr>
      <w:rFonts w:ascii="Calibri" w:eastAsia="Times New Roman" w:hAnsi="Calibri" w:cs="Calibri"/>
      <w:color w:val="000000"/>
      <w:sz w:val="24"/>
      <w:szCs w:val="24"/>
      <w:lang w:eastAsia="en-IE"/>
    </w:rPr>
  </w:style>
  <w:style w:type="character" w:customStyle="1" w:styleId="change">
    <w:name w:val="change"/>
    <w:rsid w:val="00DE2560"/>
  </w:style>
  <w:style w:type="character" w:customStyle="1" w:styleId="Heading1Char">
    <w:name w:val="Heading 1 Char"/>
    <w:basedOn w:val="DefaultParagraphFont"/>
    <w:link w:val="Heading1"/>
    <w:rsid w:val="00F34763"/>
    <w:rPr>
      <w:rFonts w:ascii="Helvetica" w:eastAsia="Times New Roman" w:hAnsi="Helvetica" w:cs="Times New Roman"/>
      <w:b/>
      <w:bCs/>
      <w:sz w:val="20"/>
      <w:szCs w:val="24"/>
    </w:rPr>
  </w:style>
  <w:style w:type="paragraph" w:styleId="BodyText">
    <w:name w:val="Body Text"/>
    <w:basedOn w:val="Normal"/>
    <w:link w:val="BodyTextChar"/>
    <w:semiHidden/>
    <w:rsid w:val="00F34763"/>
    <w:pPr>
      <w:tabs>
        <w:tab w:val="left" w:pos="2160"/>
      </w:tabs>
      <w:spacing w:after="0" w:line="240" w:lineRule="auto"/>
      <w:jc w:val="both"/>
    </w:pPr>
    <w:rPr>
      <w:rFonts w:ascii="Helvetica" w:eastAsia="Times New Roman" w:hAnsi="Helvetica"/>
      <w:sz w:val="20"/>
      <w:szCs w:val="24"/>
    </w:rPr>
  </w:style>
  <w:style w:type="character" w:customStyle="1" w:styleId="BodyTextChar">
    <w:name w:val="Body Text Char"/>
    <w:basedOn w:val="DefaultParagraphFont"/>
    <w:link w:val="BodyText"/>
    <w:semiHidden/>
    <w:rsid w:val="00F34763"/>
    <w:rPr>
      <w:rFonts w:ascii="Helvetica" w:eastAsia="Times New Roman" w:hAnsi="Helvetica" w:cs="Times New Roman"/>
      <w:sz w:val="20"/>
      <w:szCs w:val="24"/>
    </w:rPr>
  </w:style>
  <w:style w:type="character" w:customStyle="1" w:styleId="Heading4Char">
    <w:name w:val="Heading 4 Char"/>
    <w:basedOn w:val="DefaultParagraphFont"/>
    <w:link w:val="Heading4"/>
    <w:uiPriority w:val="9"/>
    <w:semiHidden/>
    <w:rsid w:val="00872E36"/>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872E36"/>
    <w:rPr>
      <w:rFonts w:asciiTheme="majorHAnsi" w:eastAsiaTheme="majorEastAsia" w:hAnsiTheme="majorHAnsi" w:cstheme="majorBidi"/>
      <w:color w:val="1F4D78" w:themeColor="accent1" w:themeShade="7F"/>
    </w:rPr>
  </w:style>
  <w:style w:type="table" w:customStyle="1" w:styleId="GridTable5Dark-Accent112">
    <w:name w:val="Grid Table 5 Dark - Accent 112"/>
    <w:basedOn w:val="TableNormal"/>
    <w:next w:val="GridTable5Dark-Accent1"/>
    <w:uiPriority w:val="50"/>
    <w:rsid w:val="00872E36"/>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1">
    <w:name w:val="Grid Table 5 Dark Accent 1"/>
    <w:basedOn w:val="TableNormal"/>
    <w:uiPriority w:val="50"/>
    <w:rsid w:val="00872E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2Char">
    <w:name w:val="Heading 2 Char"/>
    <w:basedOn w:val="DefaultParagraphFont"/>
    <w:link w:val="Heading2"/>
    <w:uiPriority w:val="9"/>
    <w:semiHidden/>
    <w:rsid w:val="00B133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133C8"/>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4D2589"/>
    <w:rPr>
      <w:rFonts w:asciiTheme="minorHAnsi" w:hAnsiTheme="minorHAnsi" w:cstheme="minorHAnsi"/>
      <w:b/>
      <w:bCs/>
      <w:color w:val="2E74B5" w:themeColor="accent1" w:themeShade="BF"/>
      <w:sz w:val="16"/>
      <w:szCs w:val="16"/>
    </w:rPr>
  </w:style>
  <w:style w:type="character" w:styleId="CommentReference">
    <w:name w:val="annotation reference"/>
    <w:basedOn w:val="DefaultParagraphFont"/>
    <w:uiPriority w:val="99"/>
    <w:semiHidden/>
    <w:unhideWhenUsed/>
    <w:rsid w:val="00C82A65"/>
    <w:rPr>
      <w:sz w:val="16"/>
      <w:szCs w:val="16"/>
    </w:rPr>
  </w:style>
  <w:style w:type="paragraph" w:styleId="CommentText">
    <w:name w:val="annotation text"/>
    <w:basedOn w:val="Normal"/>
    <w:link w:val="CommentTextChar"/>
    <w:uiPriority w:val="99"/>
    <w:semiHidden/>
    <w:unhideWhenUsed/>
    <w:rsid w:val="00C82A65"/>
    <w:pPr>
      <w:spacing w:line="240" w:lineRule="auto"/>
    </w:pPr>
    <w:rPr>
      <w:sz w:val="20"/>
      <w:szCs w:val="20"/>
    </w:rPr>
  </w:style>
  <w:style w:type="character" w:customStyle="1" w:styleId="CommentTextChar">
    <w:name w:val="Comment Text Char"/>
    <w:basedOn w:val="DefaultParagraphFont"/>
    <w:link w:val="CommentText"/>
    <w:uiPriority w:val="99"/>
    <w:semiHidden/>
    <w:rsid w:val="00C82A6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2A65"/>
    <w:rPr>
      <w:b/>
      <w:bCs/>
    </w:rPr>
  </w:style>
  <w:style w:type="character" w:customStyle="1" w:styleId="CommentSubjectChar">
    <w:name w:val="Comment Subject Char"/>
    <w:basedOn w:val="CommentTextChar"/>
    <w:link w:val="CommentSubject"/>
    <w:uiPriority w:val="99"/>
    <w:semiHidden/>
    <w:rsid w:val="00C82A6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82A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A65"/>
    <w:rPr>
      <w:rFonts w:ascii="Segoe UI" w:eastAsia="Calibri" w:hAnsi="Segoe UI" w:cs="Segoe UI"/>
      <w:sz w:val="18"/>
      <w:szCs w:val="18"/>
    </w:rPr>
  </w:style>
  <w:style w:type="character" w:customStyle="1" w:styleId="fontstyle01">
    <w:name w:val="fontstyle01"/>
    <w:basedOn w:val="DefaultParagraphFont"/>
    <w:rsid w:val="00360BE7"/>
    <w:rPr>
      <w:rFonts w:ascii="Calibri" w:hAnsi="Calibri" w:cs="Calibri" w:hint="default"/>
      <w:b w:val="0"/>
      <w:bCs w:val="0"/>
      <w:i w:val="0"/>
      <w:iCs w:val="0"/>
      <w:color w:val="000000"/>
      <w:sz w:val="22"/>
      <w:szCs w:val="22"/>
    </w:rPr>
  </w:style>
  <w:style w:type="table" w:styleId="TableGrid">
    <w:name w:val="Table Grid"/>
    <w:basedOn w:val="TableNormal"/>
    <w:uiPriority w:val="39"/>
    <w:rsid w:val="004E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4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43A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043AA"/>
    <w:rPr>
      <w:vertAlign w:val="superscript"/>
    </w:rPr>
  </w:style>
  <w:style w:type="paragraph" w:styleId="EndnoteText">
    <w:name w:val="endnote text"/>
    <w:basedOn w:val="Normal"/>
    <w:link w:val="EndnoteTextChar"/>
    <w:uiPriority w:val="99"/>
    <w:semiHidden/>
    <w:unhideWhenUsed/>
    <w:rsid w:val="005043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43A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043AA"/>
    <w:rPr>
      <w:vertAlign w:val="superscript"/>
    </w:rPr>
  </w:style>
  <w:style w:type="paragraph" w:styleId="Header">
    <w:name w:val="header"/>
    <w:basedOn w:val="Normal"/>
    <w:link w:val="HeaderChar"/>
    <w:uiPriority w:val="99"/>
    <w:unhideWhenUsed/>
    <w:rsid w:val="00504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3AA"/>
    <w:rPr>
      <w:rFonts w:ascii="Calibri" w:eastAsia="Calibri" w:hAnsi="Calibri" w:cs="Times New Roman"/>
    </w:rPr>
  </w:style>
  <w:style w:type="paragraph" w:styleId="Footer">
    <w:name w:val="footer"/>
    <w:basedOn w:val="Normal"/>
    <w:link w:val="FooterChar"/>
    <w:uiPriority w:val="99"/>
    <w:unhideWhenUsed/>
    <w:rsid w:val="00504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3AA"/>
    <w:rPr>
      <w:rFonts w:ascii="Calibri" w:eastAsia="Calibri" w:hAnsi="Calibri" w:cs="Times New Roman"/>
    </w:rPr>
  </w:style>
  <w:style w:type="character" w:customStyle="1" w:styleId="ListParagraphChar">
    <w:name w:val="List Paragraph Char"/>
    <w:aliases w:val="Subtitle Cover Page Char"/>
    <w:link w:val="ListParagraph"/>
    <w:uiPriority w:val="34"/>
    <w:rsid w:val="00C31E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6997">
      <w:bodyDiv w:val="1"/>
      <w:marLeft w:val="0"/>
      <w:marRight w:val="0"/>
      <w:marTop w:val="0"/>
      <w:marBottom w:val="0"/>
      <w:divBdr>
        <w:top w:val="none" w:sz="0" w:space="0" w:color="auto"/>
        <w:left w:val="none" w:sz="0" w:space="0" w:color="auto"/>
        <w:bottom w:val="none" w:sz="0" w:space="0" w:color="auto"/>
        <w:right w:val="none" w:sz="0" w:space="0" w:color="auto"/>
      </w:divBdr>
      <w:divsChild>
        <w:div w:id="169373526">
          <w:marLeft w:val="0"/>
          <w:marRight w:val="0"/>
          <w:marTop w:val="0"/>
          <w:marBottom w:val="0"/>
          <w:divBdr>
            <w:top w:val="none" w:sz="0" w:space="0" w:color="auto"/>
            <w:left w:val="none" w:sz="0" w:space="0" w:color="auto"/>
            <w:bottom w:val="none" w:sz="0" w:space="0" w:color="auto"/>
            <w:right w:val="none" w:sz="0" w:space="0" w:color="auto"/>
          </w:divBdr>
        </w:div>
        <w:div w:id="1740057271">
          <w:marLeft w:val="0"/>
          <w:marRight w:val="0"/>
          <w:marTop w:val="0"/>
          <w:marBottom w:val="0"/>
          <w:divBdr>
            <w:top w:val="none" w:sz="0" w:space="0" w:color="auto"/>
            <w:left w:val="none" w:sz="0" w:space="0" w:color="auto"/>
            <w:bottom w:val="none" w:sz="0" w:space="0" w:color="auto"/>
            <w:right w:val="none" w:sz="0" w:space="0" w:color="auto"/>
          </w:divBdr>
        </w:div>
      </w:divsChild>
    </w:div>
    <w:div w:id="1350135154">
      <w:bodyDiv w:val="1"/>
      <w:marLeft w:val="0"/>
      <w:marRight w:val="0"/>
      <w:marTop w:val="0"/>
      <w:marBottom w:val="0"/>
      <w:divBdr>
        <w:top w:val="none" w:sz="0" w:space="0" w:color="auto"/>
        <w:left w:val="none" w:sz="0" w:space="0" w:color="auto"/>
        <w:bottom w:val="none" w:sz="0" w:space="0" w:color="auto"/>
        <w:right w:val="none" w:sz="0" w:space="0" w:color="auto"/>
      </w:divBdr>
      <w:divsChild>
        <w:div w:id="1814299296">
          <w:marLeft w:val="0"/>
          <w:marRight w:val="0"/>
          <w:marTop w:val="0"/>
          <w:marBottom w:val="0"/>
          <w:divBdr>
            <w:top w:val="none" w:sz="0" w:space="0" w:color="auto"/>
            <w:left w:val="none" w:sz="0" w:space="0" w:color="auto"/>
            <w:bottom w:val="none" w:sz="0" w:space="0" w:color="auto"/>
            <w:right w:val="none" w:sz="0" w:space="0" w:color="auto"/>
          </w:divBdr>
        </w:div>
        <w:div w:id="1312102100">
          <w:marLeft w:val="0"/>
          <w:marRight w:val="0"/>
          <w:marTop w:val="0"/>
          <w:marBottom w:val="0"/>
          <w:divBdr>
            <w:top w:val="none" w:sz="0" w:space="0" w:color="auto"/>
            <w:left w:val="none" w:sz="0" w:space="0" w:color="auto"/>
            <w:bottom w:val="none" w:sz="0" w:space="0" w:color="auto"/>
            <w:right w:val="none" w:sz="0" w:space="0" w:color="auto"/>
          </w:divBdr>
        </w:div>
        <w:div w:id="1286421492">
          <w:marLeft w:val="0"/>
          <w:marRight w:val="0"/>
          <w:marTop w:val="0"/>
          <w:marBottom w:val="0"/>
          <w:divBdr>
            <w:top w:val="none" w:sz="0" w:space="0" w:color="auto"/>
            <w:left w:val="none" w:sz="0" w:space="0" w:color="auto"/>
            <w:bottom w:val="none" w:sz="0" w:space="0" w:color="auto"/>
            <w:right w:val="none" w:sz="0" w:space="0" w:color="auto"/>
          </w:divBdr>
        </w:div>
        <w:div w:id="632297881">
          <w:marLeft w:val="0"/>
          <w:marRight w:val="0"/>
          <w:marTop w:val="0"/>
          <w:marBottom w:val="0"/>
          <w:divBdr>
            <w:top w:val="none" w:sz="0" w:space="0" w:color="auto"/>
            <w:left w:val="none" w:sz="0" w:space="0" w:color="auto"/>
            <w:bottom w:val="none" w:sz="0" w:space="0" w:color="auto"/>
            <w:right w:val="none" w:sz="0" w:space="0" w:color="auto"/>
          </w:divBdr>
        </w:div>
        <w:div w:id="20326753">
          <w:marLeft w:val="0"/>
          <w:marRight w:val="0"/>
          <w:marTop w:val="0"/>
          <w:marBottom w:val="0"/>
          <w:divBdr>
            <w:top w:val="none" w:sz="0" w:space="0" w:color="auto"/>
            <w:left w:val="none" w:sz="0" w:space="0" w:color="auto"/>
            <w:bottom w:val="none" w:sz="0" w:space="0" w:color="auto"/>
            <w:right w:val="none" w:sz="0" w:space="0" w:color="auto"/>
          </w:divBdr>
        </w:div>
        <w:div w:id="106315588">
          <w:marLeft w:val="0"/>
          <w:marRight w:val="0"/>
          <w:marTop w:val="0"/>
          <w:marBottom w:val="0"/>
          <w:divBdr>
            <w:top w:val="none" w:sz="0" w:space="0" w:color="auto"/>
            <w:left w:val="none" w:sz="0" w:space="0" w:color="auto"/>
            <w:bottom w:val="none" w:sz="0" w:space="0" w:color="auto"/>
            <w:right w:val="none" w:sz="0" w:space="0" w:color="auto"/>
          </w:divBdr>
        </w:div>
        <w:div w:id="48300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335AF-1FF8-42FF-8B80-9E9A6651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O'Donoghue</dc:creator>
  <cp:keywords/>
  <dc:description/>
  <cp:lastModifiedBy>Jane O'Donoghue</cp:lastModifiedBy>
  <cp:revision>6</cp:revision>
  <cp:lastPrinted>2023-10-26T11:21:00Z</cp:lastPrinted>
  <dcterms:created xsi:type="dcterms:W3CDTF">2024-04-15T14:42:00Z</dcterms:created>
  <dcterms:modified xsi:type="dcterms:W3CDTF">2024-04-22T11:22:00Z</dcterms:modified>
</cp:coreProperties>
</file>