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72035" w14:textId="57AEF735" w:rsidR="008D11DD" w:rsidRDefault="008D11DD">
      <w:pPr>
        <w:rPr>
          <w:rFonts w:ascii="Arial" w:hAnsi="Arial" w:cs="Arial"/>
          <w:b/>
          <w:bCs/>
        </w:rPr>
      </w:pPr>
      <w:r w:rsidRPr="006B682C">
        <w:rPr>
          <w:rFonts w:ascii="Arial" w:eastAsia="Times New Roman" w:hAnsi="Arial" w:cs="Arial"/>
          <w:noProof/>
          <w:lang w:eastAsia="en-IE"/>
        </w:rPr>
        <w:drawing>
          <wp:inline distT="0" distB="0" distL="0" distR="0" wp14:anchorId="10F1A014" wp14:editId="2096E3D4">
            <wp:extent cx="5497829" cy="1485900"/>
            <wp:effectExtent l="0" t="0" r="0" b="0"/>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C_RGB[1]"/>
                    <pic:cNvPicPr>
                      <a:picLocks noChangeAspect="1" noChangeArrowheads="1"/>
                    </pic:cNvPicPr>
                  </pic:nvPicPr>
                  <pic:blipFill>
                    <a:blip r:embed="rId5">
                      <a:extLst>
                        <a:ext uri="{28A0092B-C50C-407E-A947-70E740481C1C}">
                          <a14:useLocalDpi xmlns:a14="http://schemas.microsoft.com/office/drawing/2010/main" val="0"/>
                        </a:ext>
                      </a:extLst>
                    </a:blip>
                    <a:srcRect t="23473" r="18018" b="18935"/>
                    <a:stretch>
                      <a:fillRect/>
                    </a:stretch>
                  </pic:blipFill>
                  <pic:spPr bwMode="auto">
                    <a:xfrm>
                      <a:off x="0" y="0"/>
                      <a:ext cx="5558053" cy="1502177"/>
                    </a:xfrm>
                    <a:prstGeom prst="rect">
                      <a:avLst/>
                    </a:prstGeom>
                    <a:noFill/>
                    <a:ln>
                      <a:noFill/>
                    </a:ln>
                  </pic:spPr>
                </pic:pic>
              </a:graphicData>
            </a:graphic>
          </wp:inline>
        </w:drawing>
      </w:r>
    </w:p>
    <w:p w14:paraId="2E8A0AB3" w14:textId="77777777" w:rsidR="008D11DD" w:rsidRPr="004C54AA" w:rsidRDefault="008D11DD" w:rsidP="008D11DD">
      <w:pPr>
        <w:jc w:val="center"/>
        <w:rPr>
          <w:rFonts w:ascii="Arial" w:eastAsia="Times New Roman" w:hAnsi="Arial" w:cs="Arial"/>
          <w:sz w:val="28"/>
          <w:szCs w:val="28"/>
          <w:lang w:val="en-GB"/>
        </w:rPr>
      </w:pPr>
      <w:r w:rsidRPr="004C54AA">
        <w:rPr>
          <w:rFonts w:ascii="Arial" w:eastAsia="Times New Roman" w:hAnsi="Arial" w:cs="Arial"/>
          <w:sz w:val="28"/>
          <w:szCs w:val="28"/>
          <w:lang w:val="en-GB"/>
        </w:rPr>
        <w:t xml:space="preserve">Variation (No. 5) of the </w:t>
      </w:r>
    </w:p>
    <w:p w14:paraId="00C92E0D" w14:textId="77777777" w:rsidR="008D11DD" w:rsidRPr="004C54AA" w:rsidRDefault="008D11DD" w:rsidP="008D11DD">
      <w:pPr>
        <w:jc w:val="center"/>
        <w:rPr>
          <w:rFonts w:ascii="Arial" w:eastAsia="Times New Roman" w:hAnsi="Arial" w:cs="Arial"/>
          <w:sz w:val="28"/>
          <w:szCs w:val="28"/>
          <w:lang w:val="en-GB"/>
        </w:rPr>
      </w:pPr>
      <w:r w:rsidRPr="004C54AA">
        <w:rPr>
          <w:rFonts w:ascii="Arial" w:eastAsia="Times New Roman" w:hAnsi="Arial" w:cs="Arial"/>
          <w:sz w:val="28"/>
          <w:szCs w:val="28"/>
          <w:lang w:val="en-GB"/>
        </w:rPr>
        <w:t>Dublin City Development Plan</w:t>
      </w:r>
    </w:p>
    <w:p w14:paraId="40F864F7" w14:textId="77777777" w:rsidR="008D11DD" w:rsidRDefault="008D11DD" w:rsidP="008D11DD">
      <w:pPr>
        <w:jc w:val="center"/>
        <w:rPr>
          <w:rFonts w:ascii="Arial" w:eastAsia="Times New Roman" w:hAnsi="Arial" w:cs="Arial"/>
          <w:sz w:val="28"/>
          <w:szCs w:val="28"/>
          <w:lang w:val="en-GB"/>
        </w:rPr>
      </w:pPr>
      <w:r w:rsidRPr="004C54AA">
        <w:rPr>
          <w:rFonts w:ascii="Arial" w:eastAsia="Times New Roman" w:hAnsi="Arial" w:cs="Arial"/>
          <w:sz w:val="28"/>
          <w:szCs w:val="28"/>
          <w:lang w:val="en-GB"/>
        </w:rPr>
        <w:t>2022-2028</w:t>
      </w:r>
    </w:p>
    <w:p w14:paraId="14463312" w14:textId="77777777" w:rsidR="008D11DD" w:rsidRPr="004C54AA" w:rsidRDefault="008D11DD" w:rsidP="008D11DD">
      <w:pPr>
        <w:jc w:val="center"/>
        <w:rPr>
          <w:rFonts w:ascii="Arial" w:eastAsia="Times New Roman" w:hAnsi="Arial" w:cs="Arial"/>
          <w:sz w:val="28"/>
          <w:szCs w:val="28"/>
          <w:lang w:val="en-GB"/>
        </w:rPr>
      </w:pPr>
    </w:p>
    <w:p w14:paraId="64220896" w14:textId="77777777" w:rsidR="008D11DD" w:rsidRPr="004C54AA" w:rsidRDefault="008D11DD" w:rsidP="008D11DD">
      <w:pPr>
        <w:rPr>
          <w:rFonts w:ascii="Arial" w:hAnsi="Arial" w:cs="Arial"/>
          <w:b/>
          <w:bCs/>
          <w:sz w:val="28"/>
          <w:szCs w:val="28"/>
          <w:highlight w:val="yellow"/>
        </w:rPr>
      </w:pPr>
    </w:p>
    <w:p w14:paraId="08B05489" w14:textId="0E0B7181" w:rsidR="008D11DD" w:rsidRPr="00F241C7" w:rsidRDefault="008D11DD" w:rsidP="008D11DD">
      <w:pPr>
        <w:jc w:val="center"/>
        <w:rPr>
          <w:rFonts w:ascii="Arial" w:hAnsi="Arial" w:cs="Arial"/>
          <w:b/>
          <w:bCs/>
          <w:sz w:val="40"/>
          <w:szCs w:val="40"/>
        </w:rPr>
      </w:pPr>
      <w:r>
        <w:rPr>
          <w:rFonts w:ascii="Arial" w:hAnsi="Arial" w:cs="Arial"/>
          <w:b/>
          <w:bCs/>
          <w:sz w:val="40"/>
          <w:szCs w:val="40"/>
        </w:rPr>
        <w:t>Strategic Environmental Assessment (SE</w:t>
      </w:r>
      <w:r w:rsidRPr="00F241C7">
        <w:rPr>
          <w:rFonts w:ascii="Arial" w:hAnsi="Arial" w:cs="Arial"/>
          <w:b/>
          <w:bCs/>
          <w:sz w:val="40"/>
          <w:szCs w:val="40"/>
        </w:rPr>
        <w:t>A) Screening Report</w:t>
      </w:r>
      <w:r w:rsidR="00293FDC">
        <w:rPr>
          <w:rFonts w:ascii="Arial" w:hAnsi="Arial" w:cs="Arial"/>
          <w:b/>
          <w:bCs/>
          <w:sz w:val="40"/>
          <w:szCs w:val="40"/>
        </w:rPr>
        <w:t xml:space="preserve"> with SEA Screening Determination</w:t>
      </w:r>
    </w:p>
    <w:p w14:paraId="6FA7D0C7" w14:textId="77777777" w:rsidR="008D11DD" w:rsidRDefault="008D11DD" w:rsidP="008D11DD">
      <w:pPr>
        <w:jc w:val="center"/>
        <w:rPr>
          <w:rFonts w:ascii="Arial" w:hAnsi="Arial" w:cs="Arial"/>
          <w:bCs/>
          <w:sz w:val="36"/>
          <w:szCs w:val="36"/>
          <w:highlight w:val="yellow"/>
        </w:rPr>
      </w:pPr>
    </w:p>
    <w:p w14:paraId="1401474D" w14:textId="77777777" w:rsidR="008D11DD" w:rsidRDefault="008D11DD" w:rsidP="008D11DD">
      <w:pPr>
        <w:jc w:val="center"/>
        <w:rPr>
          <w:rFonts w:ascii="Arial" w:hAnsi="Arial" w:cs="Arial"/>
          <w:bCs/>
          <w:sz w:val="28"/>
          <w:szCs w:val="28"/>
          <w:highlight w:val="yellow"/>
        </w:rPr>
      </w:pPr>
    </w:p>
    <w:p w14:paraId="70B9DF7A" w14:textId="1D1AF310" w:rsidR="008D11DD" w:rsidRPr="008D11DD" w:rsidRDefault="008D11DD" w:rsidP="008D11DD">
      <w:pPr>
        <w:jc w:val="center"/>
        <w:rPr>
          <w:rFonts w:ascii="Arial" w:hAnsi="Arial" w:cs="Arial"/>
          <w:b/>
          <w:bCs/>
          <w:sz w:val="28"/>
          <w:szCs w:val="28"/>
        </w:rPr>
      </w:pPr>
      <w:r w:rsidRPr="008D11DD">
        <w:rPr>
          <w:rFonts w:ascii="Arial" w:hAnsi="Arial" w:cs="Arial"/>
          <w:bCs/>
          <w:sz w:val="28"/>
          <w:szCs w:val="28"/>
        </w:rPr>
        <w:t xml:space="preserve">In accordance with the requirements of </w:t>
      </w:r>
      <w:r w:rsidRPr="008D11DD">
        <w:rPr>
          <w:rFonts w:ascii="Arial" w:hAnsi="Arial" w:cs="Arial"/>
          <w:sz w:val="28"/>
          <w:szCs w:val="28"/>
          <w:lang w:eastAsia="en-IE"/>
        </w:rPr>
        <w:t>the European Union Directive 2001/42/EC, and, European Communities (Environmental Assessment of Certain Plans and Programmes) Regulations 2004 (</w:t>
      </w:r>
      <w:r w:rsidRPr="008D11DD">
        <w:rPr>
          <w:rFonts w:ascii="Arial" w:hAnsi="Arial" w:cs="Arial"/>
          <w:sz w:val="28"/>
          <w:szCs w:val="28"/>
        </w:rPr>
        <w:t>SI No. 436 of 2004</w:t>
      </w:r>
      <w:r w:rsidRPr="008D11DD">
        <w:rPr>
          <w:rFonts w:ascii="Arial" w:hAnsi="Arial" w:cs="Arial"/>
          <w:sz w:val="28"/>
          <w:szCs w:val="28"/>
          <w:lang w:eastAsia="en-IE"/>
        </w:rPr>
        <w:t xml:space="preserve"> as amended by </w:t>
      </w:r>
      <w:r w:rsidRPr="008D11DD">
        <w:rPr>
          <w:rFonts w:ascii="Arial" w:hAnsi="Arial" w:cs="Arial"/>
          <w:sz w:val="28"/>
          <w:szCs w:val="28"/>
        </w:rPr>
        <w:t>S.I. No. 201/2011).</w:t>
      </w:r>
    </w:p>
    <w:p w14:paraId="101902C2" w14:textId="221DEA7F" w:rsidR="008D11DD" w:rsidRPr="00F241C7" w:rsidRDefault="008D11DD" w:rsidP="008D11DD">
      <w:pPr>
        <w:jc w:val="center"/>
        <w:rPr>
          <w:rFonts w:ascii="Arial" w:hAnsi="Arial" w:cs="Arial"/>
          <w:bCs/>
          <w:sz w:val="28"/>
          <w:szCs w:val="28"/>
        </w:rPr>
      </w:pPr>
      <w:r w:rsidRPr="00F241C7">
        <w:rPr>
          <w:rFonts w:ascii="Arial" w:hAnsi="Arial" w:cs="Arial"/>
          <w:bCs/>
          <w:sz w:val="28"/>
          <w:szCs w:val="28"/>
        </w:rPr>
        <w:t>.</w:t>
      </w:r>
    </w:p>
    <w:p w14:paraId="2A8B7F48" w14:textId="77777777" w:rsidR="008D11DD" w:rsidRDefault="008D11DD" w:rsidP="008D11DD">
      <w:pPr>
        <w:rPr>
          <w:rFonts w:ascii="Arial" w:hAnsi="Arial" w:cs="Arial"/>
          <w:b/>
          <w:bCs/>
          <w:sz w:val="24"/>
          <w:szCs w:val="24"/>
          <w:highlight w:val="yellow"/>
        </w:rPr>
      </w:pPr>
    </w:p>
    <w:p w14:paraId="449EA67A" w14:textId="77777777" w:rsidR="008D11DD" w:rsidRDefault="008D11DD" w:rsidP="008D11DD">
      <w:pPr>
        <w:rPr>
          <w:rFonts w:ascii="Arial" w:hAnsi="Arial" w:cs="Arial"/>
          <w:b/>
          <w:bCs/>
          <w:sz w:val="24"/>
          <w:szCs w:val="24"/>
          <w:highlight w:val="yellow"/>
        </w:rPr>
      </w:pPr>
    </w:p>
    <w:p w14:paraId="15656E70" w14:textId="77777777" w:rsidR="008D11DD" w:rsidRDefault="008D11DD" w:rsidP="008D11DD">
      <w:pPr>
        <w:rPr>
          <w:rFonts w:ascii="Arial" w:hAnsi="Arial" w:cs="Arial"/>
          <w:b/>
          <w:bCs/>
          <w:sz w:val="24"/>
          <w:szCs w:val="24"/>
          <w:highlight w:val="yellow"/>
        </w:rPr>
      </w:pPr>
    </w:p>
    <w:p w14:paraId="6F4A898A" w14:textId="77777777" w:rsidR="008D11DD" w:rsidRDefault="008D11DD" w:rsidP="008D11DD">
      <w:pPr>
        <w:rPr>
          <w:rFonts w:ascii="Arial" w:hAnsi="Arial" w:cs="Arial"/>
          <w:b/>
          <w:bCs/>
          <w:sz w:val="24"/>
          <w:szCs w:val="24"/>
          <w:highlight w:val="yellow"/>
        </w:rPr>
      </w:pPr>
    </w:p>
    <w:p w14:paraId="198B5E95" w14:textId="77777777" w:rsidR="008D11DD" w:rsidRDefault="008D11DD" w:rsidP="008D11DD">
      <w:pPr>
        <w:rPr>
          <w:rFonts w:ascii="Arial" w:hAnsi="Arial" w:cs="Arial"/>
          <w:b/>
          <w:bCs/>
          <w:sz w:val="24"/>
          <w:szCs w:val="24"/>
          <w:highlight w:val="yellow"/>
        </w:rPr>
      </w:pPr>
    </w:p>
    <w:p w14:paraId="322E4656" w14:textId="44B7AD73" w:rsidR="008D11DD" w:rsidRDefault="008D11DD" w:rsidP="000F3D57">
      <w:pPr>
        <w:tabs>
          <w:tab w:val="left" w:pos="3686"/>
        </w:tabs>
        <w:ind w:left="720" w:hanging="720"/>
        <w:jc w:val="both"/>
        <w:rPr>
          <w:rFonts w:ascii="Arial" w:hAnsi="Arial" w:cs="Arial"/>
          <w:b/>
          <w:bCs/>
        </w:rPr>
      </w:pPr>
    </w:p>
    <w:p w14:paraId="558600BF" w14:textId="77777777" w:rsidR="001C5F22" w:rsidRDefault="001C5F22" w:rsidP="000F3D57">
      <w:pPr>
        <w:tabs>
          <w:tab w:val="left" w:pos="3686"/>
        </w:tabs>
        <w:ind w:left="720" w:hanging="720"/>
        <w:jc w:val="both"/>
        <w:rPr>
          <w:rFonts w:ascii="Arial" w:hAnsi="Arial" w:cs="Arial"/>
          <w:b/>
          <w:bCs/>
        </w:rPr>
      </w:pPr>
    </w:p>
    <w:p w14:paraId="4EAC0D0D" w14:textId="397D84AA" w:rsidR="008D11DD" w:rsidRDefault="008D11DD" w:rsidP="000F3D57">
      <w:pPr>
        <w:tabs>
          <w:tab w:val="left" w:pos="3686"/>
        </w:tabs>
        <w:ind w:left="720" w:hanging="720"/>
        <w:jc w:val="both"/>
        <w:rPr>
          <w:rFonts w:ascii="Arial" w:hAnsi="Arial" w:cs="Arial"/>
          <w:b/>
          <w:bCs/>
        </w:rPr>
      </w:pPr>
    </w:p>
    <w:p w14:paraId="1F57388A" w14:textId="7020C43F" w:rsidR="008D11DD" w:rsidRDefault="008D11DD" w:rsidP="000F3D57">
      <w:pPr>
        <w:tabs>
          <w:tab w:val="left" w:pos="3686"/>
        </w:tabs>
        <w:ind w:left="720" w:hanging="720"/>
        <w:jc w:val="both"/>
        <w:rPr>
          <w:rFonts w:ascii="Arial" w:hAnsi="Arial" w:cs="Arial"/>
          <w:b/>
          <w:bCs/>
        </w:rPr>
      </w:pPr>
    </w:p>
    <w:p w14:paraId="24711175" w14:textId="77777777" w:rsidR="008D11DD" w:rsidRPr="004C54AA" w:rsidRDefault="008D11DD" w:rsidP="008D11DD">
      <w:pPr>
        <w:rPr>
          <w:rFonts w:ascii="Arial" w:hAnsi="Arial" w:cs="Arial"/>
          <w:b/>
          <w:bCs/>
          <w:sz w:val="24"/>
          <w:szCs w:val="24"/>
        </w:rPr>
      </w:pPr>
      <w:bookmarkStart w:id="0" w:name="_GoBack"/>
      <w:bookmarkEnd w:id="0"/>
      <w:r w:rsidRPr="004C54AA">
        <w:rPr>
          <w:rFonts w:ascii="Arial" w:hAnsi="Arial" w:cs="Arial"/>
          <w:b/>
          <w:bCs/>
          <w:sz w:val="24"/>
          <w:szCs w:val="24"/>
        </w:rPr>
        <w:t>ADDENDUM</w:t>
      </w:r>
    </w:p>
    <w:p w14:paraId="20B77725" w14:textId="77777777" w:rsidR="008D11DD" w:rsidRPr="004C54AA" w:rsidRDefault="008D11DD" w:rsidP="008D11DD">
      <w:pPr>
        <w:rPr>
          <w:rFonts w:ascii="Arial" w:hAnsi="Arial" w:cs="Arial"/>
          <w:b/>
          <w:bCs/>
          <w:sz w:val="24"/>
          <w:szCs w:val="24"/>
        </w:rPr>
      </w:pPr>
    </w:p>
    <w:p w14:paraId="39627E6A" w14:textId="75085639" w:rsidR="008D11DD" w:rsidRPr="004C54AA" w:rsidRDefault="008D11DD" w:rsidP="008D11DD">
      <w:pPr>
        <w:spacing w:line="276" w:lineRule="auto"/>
        <w:jc w:val="both"/>
        <w:rPr>
          <w:rFonts w:ascii="Arial" w:hAnsi="Arial" w:cs="Arial"/>
          <w:sz w:val="24"/>
          <w:szCs w:val="24"/>
        </w:rPr>
      </w:pPr>
      <w:r w:rsidRPr="004C54AA">
        <w:rPr>
          <w:rFonts w:ascii="Arial" w:hAnsi="Arial" w:cs="Arial"/>
          <w:sz w:val="24"/>
          <w:szCs w:val="24"/>
        </w:rPr>
        <w:t>The proposed variation went on public display from 5th January 2024 to 1</w:t>
      </w:r>
      <w:r w:rsidRPr="004C54AA">
        <w:rPr>
          <w:rFonts w:ascii="Arial" w:hAnsi="Arial" w:cs="Arial"/>
          <w:sz w:val="24"/>
          <w:szCs w:val="24"/>
          <w:vertAlign w:val="superscript"/>
        </w:rPr>
        <w:t>st</w:t>
      </w:r>
      <w:r w:rsidRPr="004C54AA">
        <w:rPr>
          <w:rFonts w:ascii="Arial" w:hAnsi="Arial" w:cs="Arial"/>
          <w:sz w:val="24"/>
          <w:szCs w:val="24"/>
        </w:rPr>
        <w:t xml:space="preserve"> February 2024, together with the Strategic Environmental Assessment</w:t>
      </w:r>
      <w:r>
        <w:rPr>
          <w:rFonts w:ascii="Arial" w:hAnsi="Arial" w:cs="Arial"/>
          <w:sz w:val="24"/>
          <w:szCs w:val="24"/>
        </w:rPr>
        <w:t xml:space="preserve"> (SEA) Screening Report</w:t>
      </w:r>
      <w:r w:rsidRPr="004C54AA">
        <w:rPr>
          <w:rFonts w:ascii="Arial" w:hAnsi="Arial" w:cs="Arial"/>
          <w:sz w:val="24"/>
          <w:szCs w:val="24"/>
        </w:rPr>
        <w:t xml:space="preserve"> and Appropriate Assessment</w:t>
      </w:r>
      <w:r>
        <w:rPr>
          <w:rFonts w:ascii="Arial" w:hAnsi="Arial" w:cs="Arial"/>
          <w:sz w:val="24"/>
          <w:szCs w:val="24"/>
        </w:rPr>
        <w:t xml:space="preserve"> (AA)</w:t>
      </w:r>
      <w:r w:rsidR="0094055E">
        <w:rPr>
          <w:rFonts w:ascii="Arial" w:hAnsi="Arial" w:cs="Arial"/>
          <w:sz w:val="24"/>
          <w:szCs w:val="24"/>
        </w:rPr>
        <w:t xml:space="preserve"> Screening Report</w:t>
      </w:r>
      <w:r w:rsidRPr="004C54AA">
        <w:rPr>
          <w:rFonts w:ascii="Arial" w:hAnsi="Arial" w:cs="Arial"/>
          <w:sz w:val="24"/>
          <w:szCs w:val="24"/>
        </w:rPr>
        <w:t xml:space="preserve"> and SEA and AA Determination / Conclusion.  Members of the public were invited to make submissions regarding the Proposed Variation. </w:t>
      </w:r>
    </w:p>
    <w:p w14:paraId="12987649" w14:textId="77777777" w:rsidR="008D11DD" w:rsidRPr="004C54AA" w:rsidRDefault="008D11DD" w:rsidP="008D11DD">
      <w:pPr>
        <w:spacing w:line="276" w:lineRule="auto"/>
        <w:jc w:val="both"/>
        <w:rPr>
          <w:rFonts w:ascii="Arial" w:hAnsi="Arial" w:cs="Arial"/>
          <w:sz w:val="24"/>
          <w:szCs w:val="24"/>
        </w:rPr>
      </w:pPr>
    </w:p>
    <w:p w14:paraId="7DFE96D2" w14:textId="77777777" w:rsidR="008D11DD" w:rsidRPr="004C54AA" w:rsidRDefault="008D11DD" w:rsidP="008D11DD">
      <w:pPr>
        <w:spacing w:line="276" w:lineRule="auto"/>
        <w:jc w:val="both"/>
        <w:rPr>
          <w:rFonts w:ascii="Arial" w:hAnsi="Arial" w:cs="Arial"/>
          <w:sz w:val="24"/>
          <w:szCs w:val="24"/>
        </w:rPr>
      </w:pPr>
      <w:r w:rsidRPr="004C54AA">
        <w:rPr>
          <w:rFonts w:ascii="Arial" w:hAnsi="Arial" w:cs="Arial"/>
          <w:sz w:val="24"/>
          <w:szCs w:val="24"/>
        </w:rPr>
        <w:t xml:space="preserve">Following the review of the submissions received, the Chief Executive’s report did not propose amendments to the proposed variation.  </w:t>
      </w:r>
    </w:p>
    <w:p w14:paraId="2AED015C" w14:textId="77777777" w:rsidR="008D11DD" w:rsidRPr="004C54AA" w:rsidRDefault="008D11DD" w:rsidP="008D11DD">
      <w:pPr>
        <w:spacing w:line="276" w:lineRule="auto"/>
        <w:jc w:val="both"/>
        <w:rPr>
          <w:rFonts w:ascii="Arial" w:hAnsi="Arial" w:cs="Arial"/>
          <w:sz w:val="24"/>
          <w:szCs w:val="24"/>
        </w:rPr>
      </w:pPr>
    </w:p>
    <w:p w14:paraId="6159DEB1" w14:textId="77777777" w:rsidR="008D11DD" w:rsidRPr="004C54AA" w:rsidRDefault="008D11DD" w:rsidP="008D11DD">
      <w:pPr>
        <w:rPr>
          <w:rFonts w:ascii="Arial" w:hAnsi="Arial" w:cs="Arial"/>
          <w:sz w:val="24"/>
          <w:szCs w:val="24"/>
        </w:rPr>
      </w:pPr>
      <w:r w:rsidRPr="004C54AA">
        <w:rPr>
          <w:rFonts w:ascii="Arial" w:hAnsi="Arial" w:cs="Arial"/>
          <w:sz w:val="24"/>
          <w:szCs w:val="24"/>
        </w:rPr>
        <w:t>In accordance with Section 13 of the Planning and Development Act 2000 (as amended), on the 8</w:t>
      </w:r>
      <w:r w:rsidRPr="004C54AA">
        <w:rPr>
          <w:rFonts w:ascii="Arial" w:hAnsi="Arial" w:cs="Arial"/>
          <w:sz w:val="24"/>
          <w:szCs w:val="24"/>
          <w:vertAlign w:val="superscript"/>
        </w:rPr>
        <w:t>th</w:t>
      </w:r>
      <w:r>
        <w:rPr>
          <w:rFonts w:ascii="Arial" w:hAnsi="Arial" w:cs="Arial"/>
          <w:sz w:val="24"/>
          <w:szCs w:val="24"/>
        </w:rPr>
        <w:t xml:space="preserve"> April</w:t>
      </w:r>
      <w:r w:rsidRPr="004C54AA">
        <w:rPr>
          <w:rFonts w:ascii="Arial" w:hAnsi="Arial" w:cs="Arial"/>
          <w:sz w:val="24"/>
          <w:szCs w:val="24"/>
        </w:rPr>
        <w:t xml:space="preserve"> 2024 Dublin City Council resolved to make the variation to the Dublin City Development Plan 2022 – 2028 without modification.  </w:t>
      </w:r>
    </w:p>
    <w:p w14:paraId="4FC115F3" w14:textId="77777777" w:rsidR="008D11DD" w:rsidRPr="004C54AA" w:rsidRDefault="008D11DD" w:rsidP="008D11DD">
      <w:pPr>
        <w:rPr>
          <w:rFonts w:ascii="Arial" w:hAnsi="Arial" w:cs="Arial"/>
          <w:sz w:val="24"/>
          <w:szCs w:val="24"/>
        </w:rPr>
      </w:pPr>
    </w:p>
    <w:p w14:paraId="3D73E976" w14:textId="34593A5F" w:rsidR="008D11DD" w:rsidRPr="004C54AA" w:rsidRDefault="008D11DD" w:rsidP="008D11DD">
      <w:pPr>
        <w:spacing w:line="276" w:lineRule="auto"/>
        <w:jc w:val="both"/>
        <w:rPr>
          <w:rFonts w:ascii="Arial" w:hAnsi="Arial" w:cs="Arial"/>
          <w:sz w:val="24"/>
          <w:szCs w:val="24"/>
        </w:rPr>
      </w:pPr>
      <w:r w:rsidRPr="004C54AA">
        <w:rPr>
          <w:rFonts w:ascii="Arial" w:hAnsi="Arial" w:cs="Arial"/>
          <w:sz w:val="24"/>
          <w:szCs w:val="24"/>
        </w:rPr>
        <w:t>As the variation was made without modification, the find</w:t>
      </w:r>
      <w:r>
        <w:rPr>
          <w:rFonts w:ascii="Arial" w:hAnsi="Arial" w:cs="Arial"/>
          <w:sz w:val="24"/>
          <w:szCs w:val="24"/>
        </w:rPr>
        <w:t>ings of the original SEA Determination apply</w:t>
      </w:r>
      <w:r w:rsidRPr="004C54AA">
        <w:rPr>
          <w:rFonts w:ascii="Arial" w:hAnsi="Arial" w:cs="Arial"/>
          <w:sz w:val="24"/>
          <w:szCs w:val="24"/>
        </w:rPr>
        <w:t xml:space="preserve">.  </w:t>
      </w:r>
    </w:p>
    <w:p w14:paraId="22D03A12" w14:textId="77777777" w:rsidR="008D11DD" w:rsidRPr="00BD35BB" w:rsidRDefault="008D11DD" w:rsidP="008D11DD">
      <w:pPr>
        <w:pStyle w:val="BodyText2"/>
        <w:spacing w:line="276" w:lineRule="auto"/>
        <w:jc w:val="left"/>
        <w:rPr>
          <w:rFonts w:ascii="Arial" w:hAnsi="Arial" w:cs="Arial"/>
          <w:sz w:val="22"/>
          <w:szCs w:val="22"/>
        </w:rPr>
      </w:pPr>
    </w:p>
    <w:p w14:paraId="10D795C7" w14:textId="77777777" w:rsidR="001C5F22" w:rsidRPr="001C5F22" w:rsidRDefault="001C5F22" w:rsidP="001C5F22">
      <w:pPr>
        <w:rPr>
          <w:rFonts w:ascii="Arial" w:hAnsi="Arial" w:cs="Arial"/>
          <w:b/>
          <w:bCs/>
          <w:sz w:val="24"/>
          <w:szCs w:val="24"/>
        </w:rPr>
      </w:pPr>
      <w:r w:rsidRPr="001C5F22">
        <w:rPr>
          <w:rFonts w:ascii="Arial" w:hAnsi="Arial" w:cs="Arial"/>
          <w:b/>
          <w:bCs/>
          <w:sz w:val="24"/>
          <w:szCs w:val="24"/>
        </w:rPr>
        <w:t>April 2024</w:t>
      </w:r>
    </w:p>
    <w:p w14:paraId="37BB3871" w14:textId="77777777" w:rsidR="008D11DD" w:rsidRDefault="008D11DD" w:rsidP="000F3D57">
      <w:pPr>
        <w:tabs>
          <w:tab w:val="left" w:pos="3686"/>
        </w:tabs>
        <w:ind w:left="720" w:hanging="720"/>
        <w:jc w:val="both"/>
        <w:rPr>
          <w:rFonts w:ascii="Arial" w:hAnsi="Arial" w:cs="Arial"/>
          <w:b/>
          <w:bCs/>
        </w:rPr>
      </w:pPr>
    </w:p>
    <w:p w14:paraId="72BD5CFD" w14:textId="65A55057" w:rsidR="008D11DD" w:rsidRDefault="008D11DD">
      <w:pPr>
        <w:rPr>
          <w:rFonts w:ascii="Arial" w:hAnsi="Arial" w:cs="Arial"/>
          <w:b/>
          <w:bCs/>
        </w:rPr>
      </w:pPr>
      <w:r>
        <w:rPr>
          <w:rFonts w:ascii="Arial" w:hAnsi="Arial" w:cs="Arial"/>
          <w:b/>
          <w:bCs/>
        </w:rPr>
        <w:br w:type="page"/>
      </w:r>
    </w:p>
    <w:p w14:paraId="3EE2AC86" w14:textId="1CAB4D33" w:rsidR="000F3D57" w:rsidRDefault="000F3D57" w:rsidP="000F3D57">
      <w:pPr>
        <w:tabs>
          <w:tab w:val="left" w:pos="3686"/>
        </w:tabs>
        <w:ind w:left="720" w:hanging="720"/>
        <w:jc w:val="both"/>
        <w:rPr>
          <w:rFonts w:ascii="Arial" w:hAnsi="Arial" w:cs="Arial"/>
          <w:b/>
          <w:bCs/>
        </w:rPr>
      </w:pPr>
      <w:r w:rsidRPr="00502B55">
        <w:rPr>
          <w:rFonts w:ascii="Arial" w:hAnsi="Arial" w:cs="Arial"/>
          <w:b/>
          <w:bCs/>
          <w:noProof/>
          <w:lang w:eastAsia="en-IE"/>
        </w:rPr>
        <w:lastRenderedPageBreak/>
        <mc:AlternateContent>
          <mc:Choice Requires="wps">
            <w:drawing>
              <wp:anchor distT="0" distB="0" distL="114300" distR="114300" simplePos="0" relativeHeight="251659264" behindDoc="0" locked="0" layoutInCell="1" allowOverlap="1" wp14:anchorId="4B564EB1" wp14:editId="4915BF35">
                <wp:simplePos x="0" y="0"/>
                <wp:positionH relativeFrom="column">
                  <wp:posOffset>304800</wp:posOffset>
                </wp:positionH>
                <wp:positionV relativeFrom="paragraph">
                  <wp:posOffset>-1</wp:posOffset>
                </wp:positionV>
                <wp:extent cx="4836795" cy="1133475"/>
                <wp:effectExtent l="0" t="0" r="2095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795" cy="1133475"/>
                        </a:xfrm>
                        <a:prstGeom prst="rect">
                          <a:avLst/>
                        </a:prstGeom>
                        <a:solidFill>
                          <a:srgbClr val="FFFFFF"/>
                        </a:solidFill>
                        <a:ln w="9525">
                          <a:solidFill>
                            <a:srgbClr val="000000"/>
                          </a:solidFill>
                          <a:miter lim="800000"/>
                          <a:headEnd/>
                          <a:tailEnd/>
                        </a:ln>
                      </wps:spPr>
                      <wps:txbx>
                        <w:txbxContent>
                          <w:p w14:paraId="2466DA33" w14:textId="77777777" w:rsidR="00CB3ED0" w:rsidRDefault="00CB3ED0" w:rsidP="000F3D57">
                            <w:pPr>
                              <w:jc w:val="center"/>
                              <w:rPr>
                                <w:rFonts w:ascii="Arial" w:hAnsi="Arial" w:cs="Arial"/>
                                <w:b/>
                                <w:bCs/>
                                <w:sz w:val="28"/>
                                <w:szCs w:val="28"/>
                              </w:rPr>
                            </w:pPr>
                            <w:r>
                              <w:rPr>
                                <w:rFonts w:ascii="Arial" w:hAnsi="Arial" w:cs="Arial"/>
                                <w:b/>
                                <w:bCs/>
                                <w:sz w:val="28"/>
                                <w:szCs w:val="28"/>
                              </w:rPr>
                              <w:t>Dublin City Council</w:t>
                            </w:r>
                          </w:p>
                          <w:p w14:paraId="18CD99BE" w14:textId="77777777" w:rsidR="00CB3ED0" w:rsidRDefault="00CB3ED0" w:rsidP="000F3D57">
                            <w:pPr>
                              <w:jc w:val="center"/>
                              <w:rPr>
                                <w:rFonts w:ascii="Arial" w:hAnsi="Arial" w:cs="Arial"/>
                                <w:b/>
                                <w:bCs/>
                                <w:sz w:val="28"/>
                                <w:szCs w:val="28"/>
                              </w:rPr>
                            </w:pPr>
                            <w:r w:rsidRPr="003D61AE">
                              <w:rPr>
                                <w:rFonts w:ascii="Arial" w:hAnsi="Arial" w:cs="Arial"/>
                                <w:b/>
                                <w:bCs/>
                                <w:sz w:val="28"/>
                                <w:szCs w:val="28"/>
                              </w:rPr>
                              <w:t>S</w:t>
                            </w:r>
                            <w:r>
                              <w:rPr>
                                <w:rFonts w:ascii="Arial" w:hAnsi="Arial" w:cs="Arial"/>
                                <w:b/>
                                <w:bCs/>
                                <w:sz w:val="28"/>
                                <w:szCs w:val="28"/>
                              </w:rPr>
                              <w:t xml:space="preserve">TRATEGIC </w:t>
                            </w:r>
                            <w:r w:rsidRPr="003D61AE">
                              <w:rPr>
                                <w:rFonts w:ascii="Arial" w:hAnsi="Arial" w:cs="Arial"/>
                                <w:b/>
                                <w:bCs/>
                                <w:sz w:val="28"/>
                                <w:szCs w:val="28"/>
                              </w:rPr>
                              <w:t>E</w:t>
                            </w:r>
                            <w:r>
                              <w:rPr>
                                <w:rFonts w:ascii="Arial" w:hAnsi="Arial" w:cs="Arial"/>
                                <w:b/>
                                <w:bCs/>
                                <w:sz w:val="28"/>
                                <w:szCs w:val="28"/>
                              </w:rPr>
                              <w:t xml:space="preserve">NVIRONMENTAL </w:t>
                            </w:r>
                            <w:r w:rsidRPr="003D61AE">
                              <w:rPr>
                                <w:rFonts w:ascii="Arial" w:hAnsi="Arial" w:cs="Arial"/>
                                <w:b/>
                                <w:bCs/>
                                <w:sz w:val="28"/>
                                <w:szCs w:val="28"/>
                              </w:rPr>
                              <w:t>A</w:t>
                            </w:r>
                            <w:r>
                              <w:rPr>
                                <w:rFonts w:ascii="Arial" w:hAnsi="Arial" w:cs="Arial"/>
                                <w:b/>
                                <w:bCs/>
                                <w:sz w:val="28"/>
                                <w:szCs w:val="28"/>
                              </w:rPr>
                              <w:t xml:space="preserve">SSESSMENT (SEA) </w:t>
                            </w:r>
                          </w:p>
                          <w:p w14:paraId="228FBEE1" w14:textId="77777777" w:rsidR="00CB3ED0" w:rsidRDefault="00CB3ED0" w:rsidP="000F3D57">
                            <w:pPr>
                              <w:jc w:val="center"/>
                              <w:rPr>
                                <w:rFonts w:ascii="Arial" w:hAnsi="Arial" w:cs="Arial"/>
                                <w:b/>
                                <w:bCs/>
                                <w:sz w:val="28"/>
                                <w:szCs w:val="28"/>
                              </w:rPr>
                            </w:pPr>
                            <w:r w:rsidRPr="003D61AE">
                              <w:rPr>
                                <w:rFonts w:ascii="Arial" w:hAnsi="Arial" w:cs="Arial"/>
                                <w:b/>
                                <w:bCs/>
                                <w:sz w:val="28"/>
                                <w:szCs w:val="28"/>
                              </w:rPr>
                              <w:t>SCREENING REPORT</w:t>
                            </w:r>
                          </w:p>
                          <w:p w14:paraId="656E8033" w14:textId="77777777" w:rsidR="00CB3ED0" w:rsidRDefault="00CB3ED0" w:rsidP="000F3D57">
                            <w:pPr>
                              <w:jc w:val="center"/>
                              <w:rPr>
                                <w:rFonts w:ascii="Arial" w:hAnsi="Arial" w:cs="Arial"/>
                                <w:b/>
                                <w:bCs/>
                                <w:sz w:val="28"/>
                                <w:szCs w:val="28"/>
                              </w:rPr>
                            </w:pPr>
                          </w:p>
                          <w:p w14:paraId="5B390C27" w14:textId="77777777" w:rsidR="00CB3ED0" w:rsidRDefault="00CB3ED0" w:rsidP="000F3D57">
                            <w:pPr>
                              <w:jc w:val="center"/>
                              <w:rPr>
                                <w:rFonts w:ascii="Arial" w:hAnsi="Arial" w:cs="Arial"/>
                                <w:b/>
                                <w:bCs/>
                                <w:sz w:val="28"/>
                                <w:szCs w:val="28"/>
                              </w:rPr>
                            </w:pPr>
                          </w:p>
                          <w:p w14:paraId="36941606" w14:textId="77777777" w:rsidR="00CB3ED0" w:rsidRPr="003D61AE" w:rsidRDefault="00CB3ED0" w:rsidP="000F3D57">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564EB1" id="_x0000_t202" coordsize="21600,21600" o:spt="202" path="m,l,21600r21600,l21600,xe">
                <v:stroke joinstyle="miter"/>
                <v:path gradientshapeok="t" o:connecttype="rect"/>
              </v:shapetype>
              <v:shape id="Text Box 1" o:spid="_x0000_s1026" type="#_x0000_t202" style="position:absolute;left:0;text-align:left;margin-left:24pt;margin-top:0;width:380.8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OuKwIAAFEEAAAOAAAAZHJzL2Uyb0RvYy54bWysVNuO2yAQfa/Uf0C8N851N7HirLbZpqq0&#10;vUi7/QCMsY0KDAUSO/36DjibWm2fqvoBMcxwOHNmxtu7XityEs5LMAWdTaaUCMOhkqYp6Nfnw5s1&#10;JT4wUzEFRhT0LDy9271+te1sLubQgqqEIwhifN7ZgrYh2DzLPG+FZn4CVhh01uA0C2i6Jqsc6xBd&#10;q2w+nd5kHbjKOuDCezx9GJx0l/DrWvDwua69CEQVFLmFtLq0lnHNdluWN47ZVvILDfYPLDSTBh+9&#10;Qj2wwMjRyT+gtOQOPNRhwkFnUNeSi5QDZjOb/pbNU8usSLmgON5eZfL/D5Z/On1xRFZYO0oM01ii&#10;Z9EH8hZ6MovqdNbnGPRkMSz0eBwjY6bePgL/5omBfctMI+6dg64VrEJ26WY2ujrg+AhSdh+hwmfY&#10;MUAC6munIyCKQRAdq3S+ViZS4Xi4XC9ubjcrSjj6ZrPFYnm7iuwylr9ct86H9wI0iZuCOix9gmen&#10;Rx+G0JeQRB+UrA5SqWS4ptwrR04M2+SQvgu6H4cpQ7qCblbz1aDA2OfHENP0/Q1Cy4D9rqQu6Poa&#10;xPKo2ztTpW4MTKphj9kpg0lGIaN2g4qhL/tLYUqoziipg6GvcQ5x04L7QUmHPV1Q//3InKBEfTBY&#10;ls1suYxDkIzl6naOhht7yrGHGY5QBQ2UDNt9GAbnaJ1sWnxpaAQD91jKWiaRI9WB1YU39m0q02XG&#10;4mCM7RT160+w+wkAAP//AwBQSwMEFAAGAAgAAAAhAGtL5MHeAAAABwEAAA8AAABkcnMvZG93bnJl&#10;di54bWxMj8FOwzAQRO9I/IO1SFwQdYDSuCFOhZBAcIO2gqsbb5MIex1iNw1/z3KCy0irGc28LVeT&#10;d2LEIXaBNFzNMhBIdbAdNRq2m8dLBSImQ9a4QKjhGyOsqtOT0hQ2HOkNx3VqBJdQLIyGNqW+kDLW&#10;LXoTZ6FHYm8fBm8Sn0Mj7WCOXO6dvM6yhfSmI15oTY8PLdaf64PXoObP40d8uXl9rxd7t0wX+fj0&#10;NWh9fjbd34FIOKW/MPziMzpUzLQLB7JROA1zxa8kDazsqmyZg9hxLFe3IKtS/uevfgAAAP//AwBQ&#10;SwECLQAUAAYACAAAACEAtoM4kv4AAADhAQAAEwAAAAAAAAAAAAAAAAAAAAAAW0NvbnRlbnRfVHlw&#10;ZXNdLnhtbFBLAQItABQABgAIAAAAIQA4/SH/1gAAAJQBAAALAAAAAAAAAAAAAAAAAC8BAABfcmVs&#10;cy8ucmVsc1BLAQItABQABgAIAAAAIQCuGxOuKwIAAFEEAAAOAAAAAAAAAAAAAAAAAC4CAABkcnMv&#10;ZTJvRG9jLnhtbFBLAQItABQABgAIAAAAIQBrS+TB3gAAAAcBAAAPAAAAAAAAAAAAAAAAAIUEAABk&#10;cnMvZG93bnJldi54bWxQSwUGAAAAAAQABADzAAAAkAUAAAAA&#10;">
                <v:textbox>
                  <w:txbxContent>
                    <w:p w14:paraId="2466DA33" w14:textId="77777777" w:rsidR="00CB3ED0" w:rsidRDefault="00CB3ED0" w:rsidP="000F3D57">
                      <w:pPr>
                        <w:jc w:val="center"/>
                        <w:rPr>
                          <w:rFonts w:ascii="Arial" w:hAnsi="Arial" w:cs="Arial"/>
                          <w:b/>
                          <w:bCs/>
                          <w:sz w:val="28"/>
                          <w:szCs w:val="28"/>
                        </w:rPr>
                      </w:pPr>
                      <w:r>
                        <w:rPr>
                          <w:rFonts w:ascii="Arial" w:hAnsi="Arial" w:cs="Arial"/>
                          <w:b/>
                          <w:bCs/>
                          <w:sz w:val="28"/>
                          <w:szCs w:val="28"/>
                        </w:rPr>
                        <w:t>Dublin City Council</w:t>
                      </w:r>
                    </w:p>
                    <w:p w14:paraId="18CD99BE" w14:textId="77777777" w:rsidR="00CB3ED0" w:rsidRDefault="00CB3ED0" w:rsidP="000F3D57">
                      <w:pPr>
                        <w:jc w:val="center"/>
                        <w:rPr>
                          <w:rFonts w:ascii="Arial" w:hAnsi="Arial" w:cs="Arial"/>
                          <w:b/>
                          <w:bCs/>
                          <w:sz w:val="28"/>
                          <w:szCs w:val="28"/>
                        </w:rPr>
                      </w:pPr>
                      <w:r w:rsidRPr="003D61AE">
                        <w:rPr>
                          <w:rFonts w:ascii="Arial" w:hAnsi="Arial" w:cs="Arial"/>
                          <w:b/>
                          <w:bCs/>
                          <w:sz w:val="28"/>
                          <w:szCs w:val="28"/>
                        </w:rPr>
                        <w:t>S</w:t>
                      </w:r>
                      <w:r>
                        <w:rPr>
                          <w:rFonts w:ascii="Arial" w:hAnsi="Arial" w:cs="Arial"/>
                          <w:b/>
                          <w:bCs/>
                          <w:sz w:val="28"/>
                          <w:szCs w:val="28"/>
                        </w:rPr>
                        <w:t xml:space="preserve">TRATEGIC </w:t>
                      </w:r>
                      <w:r w:rsidRPr="003D61AE">
                        <w:rPr>
                          <w:rFonts w:ascii="Arial" w:hAnsi="Arial" w:cs="Arial"/>
                          <w:b/>
                          <w:bCs/>
                          <w:sz w:val="28"/>
                          <w:szCs w:val="28"/>
                        </w:rPr>
                        <w:t>E</w:t>
                      </w:r>
                      <w:r>
                        <w:rPr>
                          <w:rFonts w:ascii="Arial" w:hAnsi="Arial" w:cs="Arial"/>
                          <w:b/>
                          <w:bCs/>
                          <w:sz w:val="28"/>
                          <w:szCs w:val="28"/>
                        </w:rPr>
                        <w:t xml:space="preserve">NVIRONMENTAL </w:t>
                      </w:r>
                      <w:r w:rsidRPr="003D61AE">
                        <w:rPr>
                          <w:rFonts w:ascii="Arial" w:hAnsi="Arial" w:cs="Arial"/>
                          <w:b/>
                          <w:bCs/>
                          <w:sz w:val="28"/>
                          <w:szCs w:val="28"/>
                        </w:rPr>
                        <w:t>A</w:t>
                      </w:r>
                      <w:r>
                        <w:rPr>
                          <w:rFonts w:ascii="Arial" w:hAnsi="Arial" w:cs="Arial"/>
                          <w:b/>
                          <w:bCs/>
                          <w:sz w:val="28"/>
                          <w:szCs w:val="28"/>
                        </w:rPr>
                        <w:t xml:space="preserve">SSESSMENT (SEA) </w:t>
                      </w:r>
                    </w:p>
                    <w:p w14:paraId="228FBEE1" w14:textId="77777777" w:rsidR="00CB3ED0" w:rsidRDefault="00CB3ED0" w:rsidP="000F3D57">
                      <w:pPr>
                        <w:jc w:val="center"/>
                        <w:rPr>
                          <w:rFonts w:ascii="Arial" w:hAnsi="Arial" w:cs="Arial"/>
                          <w:b/>
                          <w:bCs/>
                          <w:sz w:val="28"/>
                          <w:szCs w:val="28"/>
                        </w:rPr>
                      </w:pPr>
                      <w:r w:rsidRPr="003D61AE">
                        <w:rPr>
                          <w:rFonts w:ascii="Arial" w:hAnsi="Arial" w:cs="Arial"/>
                          <w:b/>
                          <w:bCs/>
                          <w:sz w:val="28"/>
                          <w:szCs w:val="28"/>
                        </w:rPr>
                        <w:t>SCREENING REPORT</w:t>
                      </w:r>
                    </w:p>
                    <w:p w14:paraId="656E8033" w14:textId="77777777" w:rsidR="00CB3ED0" w:rsidRDefault="00CB3ED0" w:rsidP="000F3D57">
                      <w:pPr>
                        <w:jc w:val="center"/>
                        <w:rPr>
                          <w:rFonts w:ascii="Arial" w:hAnsi="Arial" w:cs="Arial"/>
                          <w:b/>
                          <w:bCs/>
                          <w:sz w:val="28"/>
                          <w:szCs w:val="28"/>
                        </w:rPr>
                      </w:pPr>
                    </w:p>
                    <w:p w14:paraId="5B390C27" w14:textId="77777777" w:rsidR="00CB3ED0" w:rsidRDefault="00CB3ED0" w:rsidP="000F3D57">
                      <w:pPr>
                        <w:jc w:val="center"/>
                        <w:rPr>
                          <w:rFonts w:ascii="Arial" w:hAnsi="Arial" w:cs="Arial"/>
                          <w:b/>
                          <w:bCs/>
                          <w:sz w:val="28"/>
                          <w:szCs w:val="28"/>
                        </w:rPr>
                      </w:pPr>
                    </w:p>
                    <w:p w14:paraId="36941606" w14:textId="77777777" w:rsidR="00CB3ED0" w:rsidRPr="003D61AE" w:rsidRDefault="00CB3ED0" w:rsidP="000F3D57">
                      <w:pPr>
                        <w:jc w:val="center"/>
                        <w:rPr>
                          <w:sz w:val="28"/>
                          <w:szCs w:val="28"/>
                        </w:rPr>
                      </w:pPr>
                    </w:p>
                  </w:txbxContent>
                </v:textbox>
              </v:shape>
            </w:pict>
          </mc:Fallback>
        </mc:AlternateContent>
      </w:r>
    </w:p>
    <w:p w14:paraId="19015398" w14:textId="77777777" w:rsidR="000F3D57" w:rsidRDefault="000F3D57" w:rsidP="000F3D57">
      <w:pPr>
        <w:tabs>
          <w:tab w:val="left" w:pos="3686"/>
        </w:tabs>
        <w:ind w:left="720" w:hanging="720"/>
        <w:jc w:val="center"/>
        <w:rPr>
          <w:rFonts w:ascii="Arial" w:hAnsi="Arial" w:cs="Arial"/>
          <w:b/>
          <w:bCs/>
        </w:rPr>
      </w:pPr>
    </w:p>
    <w:p w14:paraId="62F0A98F" w14:textId="77777777" w:rsidR="000F3D57" w:rsidRDefault="000F3D57" w:rsidP="000F3D57">
      <w:pPr>
        <w:tabs>
          <w:tab w:val="left" w:pos="3686"/>
        </w:tabs>
        <w:ind w:left="720" w:hanging="720"/>
        <w:jc w:val="center"/>
        <w:rPr>
          <w:rFonts w:ascii="Arial" w:hAnsi="Arial" w:cs="Arial"/>
          <w:b/>
          <w:bCs/>
        </w:rPr>
      </w:pPr>
    </w:p>
    <w:p w14:paraId="45A5CDC2" w14:textId="77777777" w:rsidR="000F3D57" w:rsidRDefault="000F3D57" w:rsidP="000F3D57">
      <w:pPr>
        <w:tabs>
          <w:tab w:val="left" w:pos="3686"/>
        </w:tabs>
        <w:ind w:left="720" w:hanging="720"/>
        <w:jc w:val="center"/>
        <w:rPr>
          <w:rFonts w:ascii="Arial" w:hAnsi="Arial" w:cs="Arial"/>
          <w:b/>
          <w:bCs/>
        </w:rPr>
      </w:pPr>
    </w:p>
    <w:p w14:paraId="04D35A28" w14:textId="77777777" w:rsidR="000F3D57" w:rsidRDefault="000F3D57" w:rsidP="000F3D57">
      <w:pPr>
        <w:jc w:val="center"/>
        <w:rPr>
          <w:rFonts w:ascii="Arial" w:hAnsi="Arial" w:cs="Arial"/>
          <w:b/>
        </w:rPr>
      </w:pPr>
    </w:p>
    <w:p w14:paraId="3B36595E" w14:textId="77777777" w:rsidR="000F3D57" w:rsidRPr="009C1476" w:rsidRDefault="000F3D57" w:rsidP="005F205E">
      <w:pPr>
        <w:rPr>
          <w:rFonts w:ascii="Arial" w:hAnsi="Arial" w:cs="Arial"/>
          <w:b/>
          <w:sz w:val="24"/>
          <w:szCs w:val="24"/>
        </w:rPr>
      </w:pPr>
      <w:r w:rsidRPr="009C1476">
        <w:rPr>
          <w:rFonts w:ascii="Arial" w:hAnsi="Arial" w:cs="Arial"/>
          <w:b/>
          <w:sz w:val="24"/>
          <w:szCs w:val="24"/>
        </w:rPr>
        <w:t xml:space="preserve">SCREENING TO DETERMINE THE NEED FOR STRATEGIC ENVIRONMENTAL ASSESSMENT (SEA) OF: </w:t>
      </w:r>
    </w:p>
    <w:p w14:paraId="2F0F44C4" w14:textId="77777777" w:rsidR="000F3D57" w:rsidRDefault="00A006F7" w:rsidP="005F205E">
      <w:pPr>
        <w:rPr>
          <w:rFonts w:ascii="Arial" w:hAnsi="Arial" w:cs="Arial"/>
          <w:b/>
          <w:sz w:val="24"/>
          <w:szCs w:val="24"/>
        </w:rPr>
      </w:pPr>
      <w:r>
        <w:rPr>
          <w:rFonts w:ascii="Arial" w:hAnsi="Arial" w:cs="Arial"/>
          <w:b/>
          <w:sz w:val="24"/>
          <w:szCs w:val="24"/>
        </w:rPr>
        <w:t xml:space="preserve">PROPOSED </w:t>
      </w:r>
      <w:r w:rsidR="000F3D57" w:rsidRPr="009C1476">
        <w:rPr>
          <w:rFonts w:ascii="Arial" w:hAnsi="Arial" w:cs="Arial"/>
          <w:b/>
          <w:sz w:val="24"/>
          <w:szCs w:val="24"/>
        </w:rPr>
        <w:t>VARIATION (NO. 5) OF THE DUBLIN CI</w:t>
      </w:r>
      <w:r w:rsidR="005F205E">
        <w:rPr>
          <w:rFonts w:ascii="Arial" w:hAnsi="Arial" w:cs="Arial"/>
          <w:b/>
          <w:sz w:val="24"/>
          <w:szCs w:val="24"/>
        </w:rPr>
        <w:t>TY DEVELOPMENT PLAN 2022 – 2028:</w:t>
      </w:r>
    </w:p>
    <w:p w14:paraId="77CDCFF8" w14:textId="77777777" w:rsidR="00A006F7" w:rsidRDefault="00A006F7" w:rsidP="00A006F7">
      <w:pPr>
        <w:jc w:val="both"/>
        <w:rPr>
          <w:rFonts w:ascii="Arial" w:hAnsi="Arial" w:cs="Arial"/>
          <w:bCs/>
          <w:sz w:val="24"/>
          <w:szCs w:val="24"/>
        </w:rPr>
      </w:pPr>
      <w:r w:rsidRPr="00207C26">
        <w:rPr>
          <w:rFonts w:ascii="Arial" w:hAnsi="Arial" w:cs="Arial"/>
          <w:b/>
          <w:bCs/>
          <w:sz w:val="24"/>
          <w:szCs w:val="24"/>
        </w:rPr>
        <w:t>Part A: A technical update in relation to ‘Build-To-Rent’ (BTR) accommodation on foot of the publication of Sustainable Urban Housing: Design Standards for New Apartments – Guidelines for P</w:t>
      </w:r>
      <w:r>
        <w:rPr>
          <w:rFonts w:ascii="Arial" w:hAnsi="Arial" w:cs="Arial"/>
          <w:b/>
          <w:bCs/>
          <w:sz w:val="24"/>
          <w:szCs w:val="24"/>
        </w:rPr>
        <w:t>lanning Authorities, DHLGH, 2023</w:t>
      </w:r>
      <w:r>
        <w:rPr>
          <w:rFonts w:ascii="Arial" w:hAnsi="Arial" w:cs="Arial"/>
          <w:bCs/>
          <w:sz w:val="24"/>
          <w:szCs w:val="24"/>
        </w:rPr>
        <w:t>.</w:t>
      </w:r>
    </w:p>
    <w:p w14:paraId="2DB042D9" w14:textId="77777777" w:rsidR="00A006F7" w:rsidRPr="00207C26" w:rsidRDefault="00A006F7" w:rsidP="00A006F7">
      <w:pPr>
        <w:rPr>
          <w:rFonts w:ascii="Arial" w:hAnsi="Arial" w:cs="Arial"/>
          <w:b/>
          <w:bCs/>
          <w:sz w:val="24"/>
          <w:szCs w:val="24"/>
        </w:rPr>
      </w:pPr>
      <w:r w:rsidRPr="00207C26">
        <w:rPr>
          <w:rFonts w:ascii="Arial" w:hAnsi="Arial" w:cs="Arial"/>
          <w:b/>
          <w:bCs/>
          <w:sz w:val="24"/>
          <w:szCs w:val="24"/>
        </w:rPr>
        <w:t xml:space="preserve">Part B: </w:t>
      </w:r>
      <w:r>
        <w:rPr>
          <w:rFonts w:ascii="Arial" w:hAnsi="Arial" w:cs="Arial"/>
          <w:b/>
          <w:bCs/>
          <w:sz w:val="24"/>
          <w:szCs w:val="24"/>
        </w:rPr>
        <w:t>Insert new Appendix 19 into Volume 2: Appendices of the Dublin City Development Plan 2022 – 2028 containing t</w:t>
      </w:r>
      <w:r w:rsidRPr="00207C26">
        <w:rPr>
          <w:rFonts w:ascii="Arial" w:hAnsi="Arial" w:cs="Arial"/>
          <w:b/>
          <w:sz w:val="24"/>
          <w:szCs w:val="24"/>
        </w:rPr>
        <w:t>ransitional arrangements for Build-To-Rent accommodation</w:t>
      </w:r>
      <w:r>
        <w:rPr>
          <w:rFonts w:ascii="Arial" w:hAnsi="Arial" w:cs="Arial"/>
          <w:b/>
          <w:sz w:val="24"/>
          <w:szCs w:val="24"/>
        </w:rPr>
        <w:t xml:space="preserve"> proposals</w:t>
      </w:r>
      <w:r w:rsidRPr="00207C26">
        <w:rPr>
          <w:rFonts w:ascii="Arial" w:hAnsi="Arial" w:cs="Arial"/>
          <w:b/>
          <w:sz w:val="24"/>
          <w:szCs w:val="24"/>
        </w:rPr>
        <w:t xml:space="preserve"> that are subject to consideration within the planning system on or before 21st December 2022.  </w:t>
      </w:r>
    </w:p>
    <w:p w14:paraId="5E014C15" w14:textId="77777777" w:rsidR="000F3D57" w:rsidRPr="009C1476" w:rsidRDefault="000F3D57" w:rsidP="008835E6">
      <w:pPr>
        <w:rPr>
          <w:rFonts w:ascii="Arial" w:hAnsi="Arial" w:cs="Arial"/>
          <w:b/>
          <w:bCs/>
          <w:sz w:val="24"/>
          <w:szCs w:val="24"/>
        </w:rPr>
      </w:pPr>
      <w:r w:rsidRPr="009C1476">
        <w:rPr>
          <w:rFonts w:ascii="Arial" w:hAnsi="Arial" w:cs="Arial"/>
          <w:sz w:val="24"/>
          <w:szCs w:val="24"/>
          <w:lang w:eastAsia="en-IE"/>
        </w:rPr>
        <w:t>Pursuant to the European Union Directive 2001/42/EC, and,</w:t>
      </w:r>
      <w:r w:rsidR="008835E6">
        <w:rPr>
          <w:rFonts w:ascii="Arial" w:hAnsi="Arial" w:cs="Arial"/>
          <w:sz w:val="24"/>
          <w:szCs w:val="24"/>
          <w:lang w:eastAsia="en-IE"/>
        </w:rPr>
        <w:t xml:space="preserve"> </w:t>
      </w:r>
      <w:r w:rsidRPr="009C1476">
        <w:rPr>
          <w:rFonts w:ascii="Arial" w:hAnsi="Arial" w:cs="Arial"/>
          <w:sz w:val="24"/>
          <w:szCs w:val="24"/>
          <w:lang w:eastAsia="en-IE"/>
        </w:rPr>
        <w:t>European Communities (Environmental Assessment of Certain Plans and Programmes) Regulations 2004 (</w:t>
      </w:r>
      <w:r w:rsidRPr="009C1476">
        <w:rPr>
          <w:rFonts w:ascii="Arial" w:hAnsi="Arial" w:cs="Arial"/>
          <w:sz w:val="24"/>
          <w:szCs w:val="24"/>
        </w:rPr>
        <w:t>SI No. 436 of 2004</w:t>
      </w:r>
      <w:r w:rsidRPr="009C1476">
        <w:rPr>
          <w:rFonts w:ascii="Arial" w:hAnsi="Arial" w:cs="Arial"/>
          <w:sz w:val="24"/>
          <w:szCs w:val="24"/>
          <w:lang w:eastAsia="en-IE"/>
        </w:rPr>
        <w:t xml:space="preserve"> as amended by </w:t>
      </w:r>
      <w:r w:rsidRPr="009C1476">
        <w:rPr>
          <w:rFonts w:ascii="Arial" w:hAnsi="Arial" w:cs="Arial"/>
          <w:sz w:val="24"/>
          <w:szCs w:val="24"/>
        </w:rPr>
        <w:t>S.I. No. 201/2011).</w:t>
      </w:r>
    </w:p>
    <w:p w14:paraId="72D0A5E1" w14:textId="77777777" w:rsidR="00FE5FD3" w:rsidRPr="001D36F6" w:rsidRDefault="00FE5FD3" w:rsidP="00FE5FD3">
      <w:pPr>
        <w:jc w:val="both"/>
        <w:rPr>
          <w:rFonts w:ascii="Arial" w:hAnsi="Arial" w:cs="Arial"/>
          <w:b/>
          <w:bCs/>
          <w:sz w:val="24"/>
          <w:szCs w:val="24"/>
        </w:rPr>
      </w:pPr>
    </w:p>
    <w:p w14:paraId="4978AA4A" w14:textId="77777777" w:rsidR="001973F0" w:rsidRPr="001D36F6" w:rsidRDefault="00FE5FD3" w:rsidP="001973F0">
      <w:pPr>
        <w:spacing w:before="120" w:after="120" w:line="240" w:lineRule="auto"/>
        <w:jc w:val="both"/>
        <w:rPr>
          <w:rFonts w:ascii="Arial" w:eastAsia="Times" w:hAnsi="Arial" w:cs="Arial"/>
          <w:b/>
          <w:sz w:val="24"/>
          <w:szCs w:val="24"/>
          <w:lang w:val="en-GB"/>
        </w:rPr>
      </w:pPr>
      <w:r w:rsidRPr="001D36F6">
        <w:rPr>
          <w:rFonts w:ascii="Arial" w:eastAsia="Times" w:hAnsi="Arial" w:cs="Arial"/>
          <w:b/>
          <w:sz w:val="24"/>
          <w:szCs w:val="24"/>
          <w:lang w:val="en-GB"/>
        </w:rPr>
        <w:t>1.0</w:t>
      </w:r>
      <w:r w:rsidRPr="001D36F6">
        <w:rPr>
          <w:rFonts w:ascii="Arial" w:eastAsia="Times" w:hAnsi="Arial" w:cs="Arial"/>
          <w:b/>
          <w:sz w:val="24"/>
          <w:szCs w:val="24"/>
          <w:lang w:val="en-GB"/>
        </w:rPr>
        <w:tab/>
      </w:r>
      <w:r w:rsidR="001973F0" w:rsidRPr="001D36F6">
        <w:rPr>
          <w:rFonts w:ascii="Arial" w:eastAsia="Times" w:hAnsi="Arial" w:cs="Arial"/>
          <w:b/>
          <w:sz w:val="24"/>
          <w:szCs w:val="24"/>
          <w:lang w:val="en-GB"/>
        </w:rPr>
        <w:t>Legislative Background and Guidance Documents</w:t>
      </w:r>
    </w:p>
    <w:p w14:paraId="3529B4F8" w14:textId="77777777" w:rsidR="001973F0" w:rsidRPr="000E0DD6" w:rsidRDefault="001973F0" w:rsidP="001973F0">
      <w:pPr>
        <w:spacing w:line="276" w:lineRule="auto"/>
        <w:rPr>
          <w:rFonts w:ascii="Arial" w:hAnsi="Arial" w:cs="Arial"/>
          <w:sz w:val="24"/>
          <w:szCs w:val="24"/>
        </w:rPr>
      </w:pPr>
      <w:r w:rsidRPr="000E0DD6">
        <w:rPr>
          <w:rFonts w:ascii="Arial" w:hAnsi="Arial" w:cs="Arial"/>
          <w:sz w:val="24"/>
          <w:szCs w:val="24"/>
        </w:rPr>
        <w:t>The SEA Directive - Directive 2001/42/EC</w:t>
      </w:r>
      <w:r w:rsidRPr="000E0DD6">
        <w:rPr>
          <w:sz w:val="24"/>
          <w:szCs w:val="24"/>
        </w:rPr>
        <w:t xml:space="preserve"> </w:t>
      </w:r>
      <w:r w:rsidRPr="000E0DD6">
        <w:rPr>
          <w:rFonts w:ascii="Arial" w:hAnsi="Arial" w:cs="Arial"/>
          <w:sz w:val="24"/>
          <w:szCs w:val="24"/>
        </w:rPr>
        <w:t>on the assessment of the effects of certain plans and programmes on the environment - was transposed into Irish Law through the European Communities (Environmental Assessment of Certain Plans and Programmes) Regulations 2004 (Statutory Instrument Number (</w:t>
      </w:r>
      <w:r w:rsidRPr="000E0DD6">
        <w:rPr>
          <w:rFonts w:ascii="Arial" w:hAnsi="Arial" w:cs="Arial"/>
          <w:b/>
          <w:sz w:val="24"/>
          <w:szCs w:val="24"/>
        </w:rPr>
        <w:t>SI No. 435 of 2004</w:t>
      </w:r>
      <w:r w:rsidRPr="000E0DD6">
        <w:rPr>
          <w:rFonts w:ascii="Arial" w:hAnsi="Arial" w:cs="Arial"/>
          <w:sz w:val="24"/>
          <w:szCs w:val="24"/>
        </w:rPr>
        <w:t>) and the Planning and Development (Strategic Environmental Assessment) Regulations 2004 (</w:t>
      </w:r>
      <w:r w:rsidRPr="000E0DD6">
        <w:rPr>
          <w:rFonts w:ascii="Arial" w:hAnsi="Arial" w:cs="Arial"/>
          <w:b/>
          <w:sz w:val="24"/>
          <w:szCs w:val="24"/>
        </w:rPr>
        <w:t>SI No. 436 of 2004</w:t>
      </w:r>
      <w:r w:rsidRPr="000E0DD6">
        <w:rPr>
          <w:rFonts w:ascii="Arial" w:hAnsi="Arial" w:cs="Arial"/>
          <w:sz w:val="24"/>
          <w:szCs w:val="24"/>
        </w:rPr>
        <w:t xml:space="preserve">). </w:t>
      </w:r>
    </w:p>
    <w:p w14:paraId="1C107100" w14:textId="77777777" w:rsidR="001973F0" w:rsidRPr="000E0DD6" w:rsidRDefault="001973F0" w:rsidP="001973F0">
      <w:pPr>
        <w:spacing w:line="276" w:lineRule="auto"/>
        <w:rPr>
          <w:rFonts w:ascii="Arial" w:hAnsi="Arial" w:cs="Arial"/>
          <w:sz w:val="24"/>
          <w:szCs w:val="24"/>
        </w:rPr>
      </w:pPr>
    </w:p>
    <w:p w14:paraId="3DCBDDD9" w14:textId="77777777" w:rsidR="001973F0" w:rsidRPr="000E0DD6" w:rsidRDefault="001973F0" w:rsidP="001973F0">
      <w:pPr>
        <w:spacing w:line="276" w:lineRule="auto"/>
        <w:rPr>
          <w:rFonts w:ascii="Arial" w:hAnsi="Arial" w:cs="Arial"/>
          <w:sz w:val="24"/>
          <w:szCs w:val="24"/>
        </w:rPr>
      </w:pPr>
      <w:r w:rsidRPr="000E0DD6">
        <w:rPr>
          <w:rFonts w:ascii="Arial" w:hAnsi="Arial" w:cs="Arial"/>
          <w:sz w:val="24"/>
          <w:szCs w:val="24"/>
        </w:rPr>
        <w:t xml:space="preserve">Both sets of Regulations became operational on 21st July 2004. </w:t>
      </w:r>
    </w:p>
    <w:p w14:paraId="510AA74C" w14:textId="77777777" w:rsidR="001973F0" w:rsidRPr="000E0DD6" w:rsidRDefault="001973F0" w:rsidP="001973F0">
      <w:pPr>
        <w:spacing w:line="276" w:lineRule="auto"/>
        <w:rPr>
          <w:rFonts w:ascii="Arial" w:hAnsi="Arial" w:cs="Arial"/>
          <w:sz w:val="24"/>
          <w:szCs w:val="24"/>
        </w:rPr>
      </w:pPr>
    </w:p>
    <w:p w14:paraId="20C0E3CE" w14:textId="77777777" w:rsidR="001973F0" w:rsidRPr="000E0DD6" w:rsidRDefault="001973F0" w:rsidP="001973F0">
      <w:pPr>
        <w:spacing w:line="276" w:lineRule="auto"/>
        <w:rPr>
          <w:rFonts w:ascii="Arial" w:hAnsi="Arial" w:cs="Arial"/>
          <w:sz w:val="24"/>
          <w:szCs w:val="24"/>
        </w:rPr>
      </w:pPr>
      <w:r w:rsidRPr="000E0DD6">
        <w:rPr>
          <w:rFonts w:ascii="Arial" w:hAnsi="Arial" w:cs="Arial"/>
          <w:sz w:val="24"/>
          <w:szCs w:val="24"/>
        </w:rPr>
        <w:t>The Regulations have been amended by the European Communities (Environmental Assessment of Certain Plans and Programmes) (Amendment) Regulations 2011 (</w:t>
      </w:r>
      <w:r w:rsidRPr="000E0DD6">
        <w:rPr>
          <w:rFonts w:ascii="Arial" w:hAnsi="Arial" w:cs="Arial"/>
          <w:b/>
          <w:sz w:val="24"/>
          <w:szCs w:val="24"/>
        </w:rPr>
        <w:t>SI No. 200 of 2011</w:t>
      </w:r>
      <w:r w:rsidRPr="000E0DD6">
        <w:rPr>
          <w:rFonts w:ascii="Arial" w:hAnsi="Arial" w:cs="Arial"/>
          <w:sz w:val="24"/>
          <w:szCs w:val="24"/>
        </w:rPr>
        <w:t>) and the Planning and Development (Strategic Environmental Assessment) (Amendment) Regulations 2011 (</w:t>
      </w:r>
      <w:r w:rsidRPr="000E0DD6">
        <w:rPr>
          <w:rFonts w:ascii="Arial" w:hAnsi="Arial" w:cs="Arial"/>
          <w:b/>
          <w:sz w:val="24"/>
          <w:szCs w:val="24"/>
        </w:rPr>
        <w:t>SI No. 201 of 2011</w:t>
      </w:r>
      <w:r w:rsidRPr="000E0DD6">
        <w:rPr>
          <w:rFonts w:ascii="Arial" w:hAnsi="Arial" w:cs="Arial"/>
          <w:sz w:val="24"/>
          <w:szCs w:val="24"/>
        </w:rPr>
        <w:t>).</w:t>
      </w:r>
    </w:p>
    <w:p w14:paraId="22F01D78" w14:textId="77777777" w:rsidR="001973F0" w:rsidRPr="000E0DD6" w:rsidRDefault="001973F0" w:rsidP="001973F0">
      <w:pPr>
        <w:spacing w:line="276" w:lineRule="auto"/>
        <w:rPr>
          <w:rFonts w:ascii="Arial" w:hAnsi="Arial" w:cs="Arial"/>
          <w:sz w:val="24"/>
          <w:szCs w:val="24"/>
        </w:rPr>
      </w:pPr>
    </w:p>
    <w:p w14:paraId="70A750F1" w14:textId="77777777" w:rsidR="001973F0" w:rsidRPr="000E0DD6" w:rsidRDefault="001973F0" w:rsidP="001973F0">
      <w:pPr>
        <w:spacing w:line="276" w:lineRule="auto"/>
        <w:rPr>
          <w:rFonts w:ascii="Arial" w:hAnsi="Arial" w:cs="Arial"/>
          <w:sz w:val="24"/>
          <w:szCs w:val="24"/>
        </w:rPr>
      </w:pPr>
      <w:r w:rsidRPr="000E0DD6">
        <w:rPr>
          <w:rFonts w:ascii="Arial" w:hAnsi="Arial" w:cs="Arial"/>
          <w:sz w:val="24"/>
          <w:szCs w:val="24"/>
        </w:rPr>
        <w:lastRenderedPageBreak/>
        <w:t xml:space="preserve">Under </w:t>
      </w:r>
      <w:r w:rsidRPr="000E0DD6">
        <w:rPr>
          <w:rFonts w:ascii="Arial" w:hAnsi="Arial" w:cs="Arial"/>
          <w:b/>
          <w:sz w:val="24"/>
          <w:szCs w:val="24"/>
        </w:rPr>
        <w:t>S.I. No. 436 of 2004</w:t>
      </w:r>
      <w:r w:rsidRPr="000E0DD6">
        <w:rPr>
          <w:rFonts w:ascii="Arial" w:hAnsi="Arial" w:cs="Arial"/>
          <w:sz w:val="24"/>
          <w:szCs w:val="24"/>
        </w:rPr>
        <w:t>, as amended under</w:t>
      </w:r>
      <w:r w:rsidRPr="000E0DD6">
        <w:rPr>
          <w:rFonts w:ascii="Arial" w:hAnsi="Arial" w:cs="Arial"/>
          <w:b/>
          <w:sz w:val="24"/>
          <w:szCs w:val="24"/>
        </w:rPr>
        <w:t xml:space="preserve"> SI No. 201 of 2011</w:t>
      </w:r>
      <w:r w:rsidRPr="000E0DD6">
        <w:rPr>
          <w:rFonts w:ascii="Arial" w:hAnsi="Arial" w:cs="Arial"/>
          <w:sz w:val="24"/>
          <w:szCs w:val="24"/>
        </w:rPr>
        <w:t xml:space="preserve">, screening to determine whether SEA is required is </w:t>
      </w:r>
      <w:r w:rsidRPr="000E0DD6">
        <w:rPr>
          <w:rFonts w:ascii="Arial" w:hAnsi="Arial" w:cs="Arial"/>
          <w:sz w:val="24"/>
          <w:szCs w:val="24"/>
          <w:u w:val="single"/>
        </w:rPr>
        <w:t>mandatory</w:t>
      </w:r>
      <w:r>
        <w:rPr>
          <w:rFonts w:ascii="Arial" w:hAnsi="Arial" w:cs="Arial"/>
          <w:sz w:val="24"/>
          <w:szCs w:val="24"/>
        </w:rPr>
        <w:t xml:space="preserve"> for a Variation (amendment or modification) of City and County Development Plans.  </w:t>
      </w:r>
    </w:p>
    <w:p w14:paraId="5DD93146" w14:textId="77777777" w:rsidR="001973F0" w:rsidRPr="000E0DD6" w:rsidRDefault="001973F0" w:rsidP="001973F0">
      <w:pPr>
        <w:spacing w:line="276" w:lineRule="auto"/>
        <w:rPr>
          <w:rFonts w:ascii="Arial" w:hAnsi="Arial" w:cs="Arial"/>
          <w:sz w:val="24"/>
          <w:szCs w:val="24"/>
        </w:rPr>
      </w:pPr>
    </w:p>
    <w:p w14:paraId="704430DB" w14:textId="77777777" w:rsidR="001973F0" w:rsidRPr="000E0DD6" w:rsidRDefault="001973F0" w:rsidP="001973F0">
      <w:pPr>
        <w:spacing w:line="276" w:lineRule="auto"/>
        <w:rPr>
          <w:rFonts w:ascii="Arial" w:hAnsi="Arial" w:cs="Arial"/>
          <w:sz w:val="24"/>
          <w:szCs w:val="24"/>
        </w:rPr>
      </w:pPr>
      <w:r>
        <w:rPr>
          <w:rFonts w:ascii="Arial" w:hAnsi="Arial" w:cs="Arial"/>
          <w:sz w:val="24"/>
          <w:szCs w:val="24"/>
        </w:rPr>
        <w:t xml:space="preserve">The </w:t>
      </w:r>
      <w:r w:rsidRPr="000E0DD6">
        <w:rPr>
          <w:rFonts w:ascii="Arial" w:hAnsi="Arial" w:cs="Arial"/>
          <w:sz w:val="24"/>
          <w:szCs w:val="24"/>
        </w:rPr>
        <w:t xml:space="preserve">proposal </w:t>
      </w:r>
      <w:r>
        <w:rPr>
          <w:rFonts w:ascii="Arial" w:hAnsi="Arial" w:cs="Arial"/>
          <w:sz w:val="24"/>
          <w:szCs w:val="24"/>
        </w:rPr>
        <w:t xml:space="preserve">to make </w:t>
      </w:r>
      <w:r w:rsidRPr="00FE0BF4">
        <w:rPr>
          <w:rFonts w:ascii="Arial" w:hAnsi="Arial" w:cs="Arial"/>
          <w:bCs/>
          <w:sz w:val="24"/>
          <w:szCs w:val="24"/>
        </w:rPr>
        <w:t xml:space="preserve">a technical update </w:t>
      </w:r>
      <w:r>
        <w:rPr>
          <w:rFonts w:ascii="Arial" w:hAnsi="Arial" w:cs="Arial"/>
          <w:bCs/>
          <w:sz w:val="24"/>
          <w:szCs w:val="24"/>
        </w:rPr>
        <w:t xml:space="preserve">to the City Development Plan </w:t>
      </w:r>
      <w:r w:rsidRPr="00FE0BF4">
        <w:rPr>
          <w:rFonts w:ascii="Arial" w:hAnsi="Arial" w:cs="Arial"/>
          <w:bCs/>
          <w:sz w:val="24"/>
          <w:szCs w:val="24"/>
        </w:rPr>
        <w:t>in relation</w:t>
      </w:r>
      <w:r>
        <w:rPr>
          <w:rFonts w:ascii="Arial" w:hAnsi="Arial" w:cs="Arial"/>
          <w:bCs/>
          <w:sz w:val="24"/>
          <w:szCs w:val="24"/>
        </w:rPr>
        <w:t xml:space="preserve"> to ‘Build-To-Rent’ (BTR) accommodation</w:t>
      </w:r>
      <w:r w:rsidR="008B2B5A">
        <w:rPr>
          <w:rFonts w:ascii="Arial" w:hAnsi="Arial" w:cs="Arial"/>
          <w:bCs/>
          <w:sz w:val="24"/>
          <w:szCs w:val="24"/>
        </w:rPr>
        <w:t xml:space="preserve"> with transitional arrangements </w:t>
      </w:r>
      <w:r w:rsidR="008B2B5A" w:rsidRPr="000E0DD6">
        <w:rPr>
          <w:rFonts w:ascii="Arial" w:hAnsi="Arial" w:cs="Arial"/>
          <w:sz w:val="24"/>
          <w:szCs w:val="24"/>
        </w:rPr>
        <w:t>is</w:t>
      </w:r>
      <w:r w:rsidRPr="000E0DD6">
        <w:rPr>
          <w:rFonts w:ascii="Arial" w:hAnsi="Arial" w:cs="Arial"/>
          <w:sz w:val="24"/>
          <w:szCs w:val="24"/>
        </w:rPr>
        <w:t xml:space="preserve"> a variation to the Dublin City Development Plan 2022 – 2028 and therefore a Strategic Environmental Assessment (SEA) screening report is mandatory. The conclusion of this SEA screening report will ascertain whether a full SEA is required and such a determination will be made public.</w:t>
      </w:r>
    </w:p>
    <w:p w14:paraId="03132704" w14:textId="77777777" w:rsidR="001973F0" w:rsidRDefault="001973F0" w:rsidP="001973F0">
      <w:pPr>
        <w:spacing w:line="276" w:lineRule="auto"/>
        <w:rPr>
          <w:rFonts w:ascii="Arial" w:hAnsi="Arial" w:cs="Arial"/>
          <w:sz w:val="24"/>
          <w:szCs w:val="24"/>
        </w:rPr>
      </w:pPr>
      <w:r w:rsidRPr="000E0DD6">
        <w:rPr>
          <w:rFonts w:ascii="Arial" w:hAnsi="Arial" w:cs="Arial"/>
          <w:sz w:val="24"/>
          <w:szCs w:val="24"/>
        </w:rPr>
        <w:t xml:space="preserve">An updated set of Section 28 Guidelines on SEA was published in 2022 by the Department of Housing, Local Government and Heritage (DHLGH) entitled </w:t>
      </w:r>
      <w:r w:rsidRPr="000E0DD6">
        <w:rPr>
          <w:rFonts w:ascii="Arial" w:hAnsi="Arial" w:cs="Arial"/>
          <w:i/>
          <w:sz w:val="24"/>
          <w:szCs w:val="24"/>
        </w:rPr>
        <w:t>Strategic Environmental Assessment Guidelines for Regional Assemblies and Planning Authorities, March 2022</w:t>
      </w:r>
      <w:r w:rsidRPr="000E0DD6">
        <w:rPr>
          <w:rFonts w:ascii="Arial" w:hAnsi="Arial" w:cs="Arial"/>
          <w:sz w:val="24"/>
          <w:szCs w:val="24"/>
        </w:rPr>
        <w:t>.</w:t>
      </w:r>
      <w:r w:rsidRPr="000E0DD6">
        <w:rPr>
          <w:sz w:val="24"/>
          <w:szCs w:val="24"/>
        </w:rPr>
        <w:t xml:space="preserve">  </w:t>
      </w:r>
      <w:r w:rsidRPr="000E0DD6">
        <w:rPr>
          <w:rFonts w:ascii="Arial" w:hAnsi="Arial" w:cs="Arial"/>
          <w:sz w:val="24"/>
          <w:szCs w:val="24"/>
        </w:rPr>
        <w:t>The Guidelines place an enhanced emphasis on key aspects of SEA including screening for SEA.</w:t>
      </w:r>
    </w:p>
    <w:p w14:paraId="10CC75D6" w14:textId="77777777" w:rsidR="008B2B5A" w:rsidRPr="000E0DD6" w:rsidRDefault="008B2B5A" w:rsidP="001973F0">
      <w:pPr>
        <w:spacing w:line="276" w:lineRule="auto"/>
        <w:rPr>
          <w:rFonts w:ascii="Arial" w:hAnsi="Arial" w:cs="Arial"/>
          <w:sz w:val="24"/>
          <w:szCs w:val="24"/>
        </w:rPr>
      </w:pPr>
    </w:p>
    <w:p w14:paraId="0ED13AC2" w14:textId="77777777" w:rsidR="00D4702F" w:rsidRPr="0063143D" w:rsidRDefault="00AA2892" w:rsidP="00D4702F">
      <w:pPr>
        <w:rPr>
          <w:rFonts w:ascii="Arial" w:hAnsi="Arial" w:cs="Arial"/>
          <w:b/>
          <w:sz w:val="24"/>
          <w:szCs w:val="24"/>
        </w:rPr>
      </w:pPr>
      <w:r>
        <w:rPr>
          <w:rFonts w:ascii="Arial" w:hAnsi="Arial" w:cs="Arial"/>
          <w:b/>
          <w:sz w:val="24"/>
          <w:szCs w:val="24"/>
        </w:rPr>
        <w:t>2</w:t>
      </w:r>
      <w:r w:rsidR="00D4702F" w:rsidRPr="0063143D">
        <w:rPr>
          <w:rFonts w:ascii="Arial" w:hAnsi="Arial" w:cs="Arial"/>
          <w:b/>
          <w:sz w:val="24"/>
          <w:szCs w:val="24"/>
        </w:rPr>
        <w:t>.0</w:t>
      </w:r>
      <w:r w:rsidR="00D4702F" w:rsidRPr="0063143D">
        <w:rPr>
          <w:rFonts w:ascii="Arial" w:hAnsi="Arial" w:cs="Arial"/>
          <w:b/>
          <w:sz w:val="24"/>
          <w:szCs w:val="24"/>
        </w:rPr>
        <w:tab/>
        <w:t>The Purpose of the Report</w:t>
      </w:r>
    </w:p>
    <w:p w14:paraId="0BC7EECF" w14:textId="2CB81120" w:rsidR="00D4702F" w:rsidRDefault="00D4702F" w:rsidP="00D4702F">
      <w:pPr>
        <w:rPr>
          <w:rFonts w:ascii="Arial" w:hAnsi="Arial" w:cs="Arial"/>
          <w:sz w:val="24"/>
          <w:szCs w:val="24"/>
        </w:rPr>
      </w:pPr>
      <w:r w:rsidRPr="000F3D57">
        <w:rPr>
          <w:rFonts w:ascii="Arial" w:hAnsi="Arial" w:cs="Arial"/>
          <w:sz w:val="24"/>
          <w:szCs w:val="24"/>
        </w:rPr>
        <w:t>The purpose of this screening report is to determine, in accordance with the European Union Strategic Environmental Assessment (SEA) Directive (2001/42/EC), wh</w:t>
      </w:r>
      <w:r w:rsidR="008B2B5A">
        <w:rPr>
          <w:rFonts w:ascii="Arial" w:hAnsi="Arial" w:cs="Arial"/>
          <w:sz w:val="24"/>
          <w:szCs w:val="24"/>
        </w:rPr>
        <w:t xml:space="preserve">ether or not the proposed </w:t>
      </w:r>
      <w:r w:rsidRPr="000F3D57">
        <w:rPr>
          <w:rFonts w:ascii="Arial" w:hAnsi="Arial" w:cs="Arial"/>
          <w:sz w:val="24"/>
          <w:szCs w:val="24"/>
        </w:rPr>
        <w:t>Variation No. 5 would result in significant environmental effects and would require a Strategic Environmental Assessment taking into account the relevant criteria set out in Schedule 2A of the Planning and Development Regulations 2001, as amended / Annex II of Directive 2001/42/EC, and having regard to the DHLGH</w:t>
      </w:r>
      <w:r w:rsidRPr="000F3D57">
        <w:rPr>
          <w:rFonts w:ascii="Arial" w:hAnsi="Arial" w:cs="Arial"/>
          <w:color w:val="FF0000"/>
          <w:sz w:val="24"/>
          <w:szCs w:val="24"/>
        </w:rPr>
        <w:t xml:space="preserve"> </w:t>
      </w:r>
      <w:r w:rsidRPr="000F3D57">
        <w:rPr>
          <w:rFonts w:ascii="Arial" w:hAnsi="Arial" w:cs="Arial"/>
          <w:sz w:val="24"/>
          <w:szCs w:val="24"/>
        </w:rPr>
        <w:t xml:space="preserve">SEA Guidelines 2022 (and in particular </w:t>
      </w:r>
      <w:r w:rsidR="00F17E74">
        <w:rPr>
          <w:rFonts w:ascii="Arial" w:hAnsi="Arial" w:cs="Arial"/>
          <w:sz w:val="24"/>
          <w:szCs w:val="24"/>
        </w:rPr>
        <w:t>guidance set out in Appendix B)</w:t>
      </w:r>
      <w:r w:rsidRPr="000F3D57">
        <w:rPr>
          <w:rFonts w:ascii="Arial" w:hAnsi="Arial" w:cs="Arial"/>
          <w:sz w:val="24"/>
          <w:szCs w:val="24"/>
        </w:rPr>
        <w:t xml:space="preserve">.    </w:t>
      </w:r>
    </w:p>
    <w:p w14:paraId="1A8A0EBB" w14:textId="124E3B8A" w:rsidR="0070223A" w:rsidRPr="0070223A" w:rsidRDefault="00F17E74" w:rsidP="00D4702F">
      <w:pPr>
        <w:rPr>
          <w:rFonts w:ascii="Arial" w:hAnsi="Arial" w:cs="Arial"/>
          <w:sz w:val="24"/>
          <w:szCs w:val="24"/>
        </w:rPr>
      </w:pPr>
      <w:r>
        <w:rPr>
          <w:rFonts w:ascii="Arial" w:hAnsi="Arial" w:cs="Arial"/>
          <w:sz w:val="24"/>
          <w:szCs w:val="24"/>
        </w:rPr>
        <w:t xml:space="preserve">This </w:t>
      </w:r>
      <w:r w:rsidRPr="005A3601">
        <w:rPr>
          <w:rFonts w:ascii="Arial" w:hAnsi="Arial" w:cs="Arial"/>
          <w:sz w:val="24"/>
          <w:szCs w:val="24"/>
        </w:rPr>
        <w:t>r</w:t>
      </w:r>
      <w:r w:rsidR="0070223A" w:rsidRPr="005A3601">
        <w:rPr>
          <w:rFonts w:ascii="Arial" w:hAnsi="Arial" w:cs="Arial"/>
          <w:sz w:val="24"/>
          <w:szCs w:val="24"/>
        </w:rPr>
        <w:t xml:space="preserve">eport will be taken into </w:t>
      </w:r>
      <w:r w:rsidR="0070223A" w:rsidRPr="0070223A">
        <w:rPr>
          <w:rFonts w:ascii="Arial" w:hAnsi="Arial" w:cs="Arial"/>
          <w:sz w:val="24"/>
          <w:szCs w:val="24"/>
        </w:rPr>
        <w:t xml:space="preserve">consideration before finalisation of the SEA screening process and the publication of an SEA determination by the </w:t>
      </w:r>
      <w:r w:rsidR="0070223A">
        <w:rPr>
          <w:rFonts w:ascii="Arial" w:hAnsi="Arial" w:cs="Arial"/>
          <w:sz w:val="24"/>
          <w:szCs w:val="24"/>
        </w:rPr>
        <w:t>Council, pursuant to S.I. 436</w:t>
      </w:r>
      <w:r w:rsidR="0070223A" w:rsidRPr="0070223A">
        <w:rPr>
          <w:rFonts w:ascii="Arial" w:hAnsi="Arial" w:cs="Arial"/>
          <w:sz w:val="24"/>
          <w:szCs w:val="24"/>
        </w:rPr>
        <w:t xml:space="preserve"> of 2004, as amended.</w:t>
      </w:r>
      <w:r w:rsidR="00CB3ED0">
        <w:rPr>
          <w:rFonts w:ascii="Arial" w:hAnsi="Arial" w:cs="Arial"/>
          <w:sz w:val="24"/>
          <w:szCs w:val="24"/>
        </w:rPr>
        <w:t xml:space="preserve"> It should be noted that no observations</w:t>
      </w:r>
      <w:r w:rsidR="005A3601">
        <w:rPr>
          <w:rFonts w:ascii="Arial" w:hAnsi="Arial" w:cs="Arial"/>
          <w:sz w:val="24"/>
          <w:szCs w:val="24"/>
        </w:rPr>
        <w:t xml:space="preserve"> or submissions were received f</w:t>
      </w:r>
      <w:r w:rsidR="00CB3ED0">
        <w:rPr>
          <w:rFonts w:ascii="Arial" w:hAnsi="Arial" w:cs="Arial"/>
          <w:sz w:val="24"/>
          <w:szCs w:val="24"/>
        </w:rPr>
        <w:t>r</w:t>
      </w:r>
      <w:r w:rsidR="005A3601">
        <w:rPr>
          <w:rFonts w:ascii="Arial" w:hAnsi="Arial" w:cs="Arial"/>
          <w:sz w:val="24"/>
          <w:szCs w:val="24"/>
        </w:rPr>
        <w:t>o</w:t>
      </w:r>
      <w:r w:rsidR="00CB3ED0">
        <w:rPr>
          <w:rFonts w:ascii="Arial" w:hAnsi="Arial" w:cs="Arial"/>
          <w:sz w:val="24"/>
          <w:szCs w:val="24"/>
        </w:rPr>
        <w:t xml:space="preserve">m the Environmental authorities during </w:t>
      </w:r>
      <w:r w:rsidR="005A3601">
        <w:rPr>
          <w:rFonts w:ascii="Arial" w:hAnsi="Arial" w:cs="Arial"/>
          <w:sz w:val="24"/>
          <w:szCs w:val="24"/>
        </w:rPr>
        <w:t>the three week statutory period prior to Public Display.</w:t>
      </w:r>
    </w:p>
    <w:p w14:paraId="102135DF" w14:textId="77777777" w:rsidR="00D4702F" w:rsidRDefault="00D4702F" w:rsidP="00D4702F">
      <w:pPr>
        <w:rPr>
          <w:rFonts w:ascii="Arial" w:hAnsi="Arial" w:cs="Arial"/>
          <w:sz w:val="24"/>
          <w:szCs w:val="24"/>
        </w:rPr>
      </w:pPr>
    </w:p>
    <w:p w14:paraId="651C681A" w14:textId="77777777" w:rsidR="00D4702F" w:rsidRPr="001D36F6" w:rsidRDefault="00AA2892" w:rsidP="00D4702F">
      <w:pPr>
        <w:rPr>
          <w:rFonts w:ascii="Arial" w:hAnsi="Arial" w:cs="Arial"/>
          <w:b/>
          <w:sz w:val="24"/>
          <w:szCs w:val="24"/>
        </w:rPr>
      </w:pPr>
      <w:r>
        <w:rPr>
          <w:rFonts w:ascii="Arial" w:hAnsi="Arial" w:cs="Arial"/>
          <w:b/>
          <w:sz w:val="24"/>
          <w:szCs w:val="24"/>
        </w:rPr>
        <w:t>3</w:t>
      </w:r>
      <w:r w:rsidR="00D4702F" w:rsidRPr="001D36F6">
        <w:rPr>
          <w:rFonts w:ascii="Arial" w:hAnsi="Arial" w:cs="Arial"/>
          <w:b/>
          <w:sz w:val="24"/>
          <w:szCs w:val="24"/>
        </w:rPr>
        <w:t>.0</w:t>
      </w:r>
      <w:r w:rsidR="00D4702F" w:rsidRPr="001D36F6">
        <w:rPr>
          <w:rFonts w:ascii="Arial" w:hAnsi="Arial" w:cs="Arial"/>
          <w:b/>
          <w:sz w:val="24"/>
          <w:szCs w:val="24"/>
        </w:rPr>
        <w:tab/>
        <w:t>Layout of Report</w:t>
      </w:r>
    </w:p>
    <w:p w14:paraId="0DD2A137" w14:textId="77777777" w:rsidR="00D4702F" w:rsidRPr="001D36F6" w:rsidRDefault="00956A83" w:rsidP="00D4702F">
      <w:pPr>
        <w:rPr>
          <w:rFonts w:ascii="Arial" w:eastAsia="Times New Roman" w:hAnsi="Arial" w:cs="Arial"/>
          <w:sz w:val="24"/>
          <w:szCs w:val="24"/>
          <w:lang w:eastAsia="en-IE"/>
        </w:rPr>
      </w:pPr>
      <w:r w:rsidRPr="00432EAB">
        <w:rPr>
          <w:rFonts w:ascii="Arial" w:hAnsi="Arial" w:cs="Arial"/>
          <w:sz w:val="24"/>
          <w:szCs w:val="24"/>
        </w:rPr>
        <w:t>Section 4</w:t>
      </w:r>
      <w:r w:rsidR="00D4702F" w:rsidRPr="00432EAB">
        <w:rPr>
          <w:rFonts w:ascii="Arial" w:hAnsi="Arial" w:cs="Arial"/>
          <w:sz w:val="24"/>
          <w:szCs w:val="24"/>
        </w:rPr>
        <w:t>.0 below describes the characteristics of the proposed</w:t>
      </w:r>
      <w:r w:rsidR="008B2B5A">
        <w:rPr>
          <w:rFonts w:ascii="Arial" w:hAnsi="Arial" w:cs="Arial"/>
          <w:sz w:val="24"/>
          <w:szCs w:val="24"/>
        </w:rPr>
        <w:t xml:space="preserve"> </w:t>
      </w:r>
      <w:r w:rsidRPr="00432EAB">
        <w:rPr>
          <w:rFonts w:ascii="Arial" w:hAnsi="Arial" w:cs="Arial"/>
          <w:sz w:val="24"/>
          <w:szCs w:val="24"/>
        </w:rPr>
        <w:t>Variation</w:t>
      </w:r>
      <w:r w:rsidR="00D4702F" w:rsidRPr="00432EAB">
        <w:rPr>
          <w:rFonts w:ascii="Arial" w:hAnsi="Arial" w:cs="Arial"/>
          <w:sz w:val="24"/>
          <w:szCs w:val="24"/>
        </w:rPr>
        <w:t>.</w:t>
      </w:r>
      <w:r w:rsidR="00D4702F" w:rsidRPr="00544BE2">
        <w:rPr>
          <w:rFonts w:ascii="Arial" w:hAnsi="Arial" w:cs="Arial"/>
          <w:sz w:val="24"/>
          <w:szCs w:val="24"/>
        </w:rPr>
        <w:t xml:space="preserve">  Section </w:t>
      </w:r>
      <w:r w:rsidR="009962AF">
        <w:rPr>
          <w:rFonts w:ascii="Arial" w:hAnsi="Arial" w:cs="Arial"/>
          <w:sz w:val="24"/>
          <w:szCs w:val="24"/>
        </w:rPr>
        <w:t>5</w:t>
      </w:r>
      <w:r w:rsidR="00D4702F" w:rsidRPr="00544BE2">
        <w:rPr>
          <w:rFonts w:ascii="Arial" w:hAnsi="Arial" w:cs="Arial"/>
          <w:sz w:val="24"/>
          <w:szCs w:val="24"/>
        </w:rPr>
        <w:t>.0 references the parallel assessment under Article 6(3) of the E</w:t>
      </w:r>
      <w:r w:rsidR="009962AF">
        <w:rPr>
          <w:rFonts w:ascii="Arial" w:hAnsi="Arial" w:cs="Arial"/>
          <w:sz w:val="24"/>
          <w:szCs w:val="24"/>
        </w:rPr>
        <w:t>U Habitats Directive.  Section 6</w:t>
      </w:r>
      <w:r w:rsidR="00D4702F" w:rsidRPr="00544BE2">
        <w:rPr>
          <w:rFonts w:ascii="Arial" w:hAnsi="Arial" w:cs="Arial"/>
          <w:sz w:val="24"/>
          <w:szCs w:val="24"/>
        </w:rPr>
        <w:t>.0 s</w:t>
      </w:r>
      <w:r w:rsidR="00D4702F" w:rsidRPr="00544BE2">
        <w:rPr>
          <w:rFonts w:ascii="Arial" w:eastAsia="Times New Roman" w:hAnsi="Arial" w:cs="Arial"/>
          <w:sz w:val="24"/>
          <w:szCs w:val="24"/>
          <w:lang w:eastAsia="en-IE"/>
        </w:rPr>
        <w:t>creens the Plan to ascertain if it is likely to have significant effects on the environment in accordance with the requirements of SEA under the Directive</w:t>
      </w:r>
      <w:r w:rsidR="009962AF">
        <w:rPr>
          <w:rFonts w:ascii="Arial" w:eastAsia="Times New Roman" w:hAnsi="Arial" w:cs="Arial"/>
          <w:sz w:val="24"/>
          <w:szCs w:val="24"/>
          <w:lang w:eastAsia="en-IE"/>
        </w:rPr>
        <w:t xml:space="preserve"> and Regulations. Section 7</w:t>
      </w:r>
      <w:r w:rsidR="00D4702F" w:rsidRPr="00544BE2">
        <w:rPr>
          <w:rFonts w:ascii="Arial" w:eastAsia="Times New Roman" w:hAnsi="Arial" w:cs="Arial"/>
          <w:sz w:val="24"/>
          <w:szCs w:val="24"/>
          <w:lang w:eastAsia="en-IE"/>
        </w:rPr>
        <w:t xml:space="preserve">.0 sets out the Council’s proposed determination </w:t>
      </w:r>
      <w:r w:rsidR="009962AF">
        <w:rPr>
          <w:rFonts w:ascii="Arial" w:eastAsia="Times New Roman" w:hAnsi="Arial" w:cs="Arial"/>
          <w:sz w:val="24"/>
          <w:szCs w:val="24"/>
          <w:lang w:eastAsia="en-IE"/>
        </w:rPr>
        <w:t>and Section 8</w:t>
      </w:r>
      <w:r w:rsidR="00D4702F" w:rsidRPr="00544BE2">
        <w:rPr>
          <w:rFonts w:ascii="Arial" w:eastAsia="Times New Roman" w:hAnsi="Arial" w:cs="Arial"/>
          <w:sz w:val="24"/>
          <w:szCs w:val="24"/>
          <w:lang w:eastAsia="en-IE"/>
        </w:rPr>
        <w:t xml:space="preserve">.0 lists the environmental authorities </w:t>
      </w:r>
      <w:r w:rsidR="00D4702F">
        <w:rPr>
          <w:rFonts w:ascii="Arial" w:eastAsia="Times New Roman" w:hAnsi="Arial" w:cs="Arial"/>
          <w:sz w:val="24"/>
          <w:szCs w:val="24"/>
          <w:lang w:eastAsia="en-IE"/>
        </w:rPr>
        <w:t xml:space="preserve">to be </w:t>
      </w:r>
      <w:r w:rsidR="00D4702F" w:rsidRPr="00544BE2">
        <w:rPr>
          <w:rFonts w:ascii="Arial" w:eastAsia="Times New Roman" w:hAnsi="Arial" w:cs="Arial"/>
          <w:sz w:val="24"/>
          <w:szCs w:val="24"/>
          <w:lang w:eastAsia="en-IE"/>
        </w:rPr>
        <w:t>consulted</w:t>
      </w:r>
      <w:r w:rsidR="00D4702F">
        <w:rPr>
          <w:rFonts w:ascii="Arial" w:eastAsia="Times New Roman" w:hAnsi="Arial" w:cs="Arial"/>
          <w:sz w:val="24"/>
          <w:szCs w:val="24"/>
          <w:lang w:eastAsia="en-IE"/>
        </w:rPr>
        <w:t xml:space="preserve">.  </w:t>
      </w:r>
      <w:r w:rsidR="00D4702F" w:rsidRPr="001D36F6">
        <w:rPr>
          <w:rFonts w:ascii="Arial" w:eastAsia="Times New Roman" w:hAnsi="Arial" w:cs="Arial"/>
          <w:sz w:val="24"/>
          <w:szCs w:val="24"/>
          <w:lang w:eastAsia="en-IE"/>
        </w:rPr>
        <w:t xml:space="preserve">  </w:t>
      </w:r>
    </w:p>
    <w:p w14:paraId="647F6071" w14:textId="3052FC0B" w:rsidR="001973F0" w:rsidRDefault="001973F0" w:rsidP="000F3D57">
      <w:pPr>
        <w:jc w:val="both"/>
        <w:rPr>
          <w:rFonts w:ascii="Arial" w:eastAsia="Times" w:hAnsi="Arial" w:cs="Arial"/>
          <w:b/>
          <w:sz w:val="24"/>
          <w:szCs w:val="24"/>
          <w:lang w:val="en-GB"/>
        </w:rPr>
      </w:pPr>
    </w:p>
    <w:p w14:paraId="7A9BF700" w14:textId="77777777" w:rsidR="00C61CA9" w:rsidRDefault="00C61CA9" w:rsidP="000F3D57">
      <w:pPr>
        <w:jc w:val="both"/>
        <w:rPr>
          <w:rFonts w:ascii="Arial" w:eastAsia="Times" w:hAnsi="Arial" w:cs="Arial"/>
          <w:b/>
          <w:sz w:val="24"/>
          <w:szCs w:val="24"/>
          <w:lang w:val="en-GB"/>
        </w:rPr>
      </w:pPr>
    </w:p>
    <w:p w14:paraId="05A3C85D" w14:textId="77777777" w:rsidR="000F3D57" w:rsidRPr="00FE0BF4" w:rsidRDefault="00956A83" w:rsidP="000F3D57">
      <w:pPr>
        <w:jc w:val="both"/>
        <w:rPr>
          <w:rFonts w:ascii="Arial" w:hAnsi="Arial" w:cs="Arial"/>
          <w:b/>
          <w:bCs/>
          <w:sz w:val="24"/>
          <w:szCs w:val="24"/>
        </w:rPr>
      </w:pPr>
      <w:r>
        <w:rPr>
          <w:rFonts w:ascii="Arial" w:hAnsi="Arial" w:cs="Arial"/>
          <w:b/>
          <w:bCs/>
          <w:sz w:val="24"/>
          <w:szCs w:val="24"/>
        </w:rPr>
        <w:t>4</w:t>
      </w:r>
      <w:r w:rsidR="00B23D81">
        <w:rPr>
          <w:rFonts w:ascii="Arial" w:hAnsi="Arial" w:cs="Arial"/>
          <w:b/>
          <w:bCs/>
          <w:sz w:val="24"/>
          <w:szCs w:val="24"/>
        </w:rPr>
        <w:t>.0</w:t>
      </w:r>
      <w:r w:rsidR="00B23D81">
        <w:rPr>
          <w:rFonts w:ascii="Arial" w:hAnsi="Arial" w:cs="Arial"/>
          <w:b/>
          <w:bCs/>
          <w:sz w:val="24"/>
          <w:szCs w:val="24"/>
        </w:rPr>
        <w:tab/>
        <w:t>Proposed</w:t>
      </w:r>
      <w:r w:rsidR="001973F0">
        <w:rPr>
          <w:rFonts w:ascii="Arial" w:hAnsi="Arial" w:cs="Arial"/>
          <w:b/>
          <w:bCs/>
          <w:sz w:val="24"/>
          <w:szCs w:val="24"/>
        </w:rPr>
        <w:t xml:space="preserve"> Variation</w:t>
      </w:r>
      <w:r w:rsidR="000F3D57" w:rsidRPr="00FE0BF4">
        <w:rPr>
          <w:rFonts w:ascii="Arial" w:hAnsi="Arial" w:cs="Arial"/>
          <w:b/>
          <w:bCs/>
          <w:sz w:val="24"/>
          <w:szCs w:val="24"/>
        </w:rPr>
        <w:t>:</w:t>
      </w:r>
    </w:p>
    <w:p w14:paraId="774A4E2E" w14:textId="77777777" w:rsidR="00B23D81" w:rsidRDefault="00B23D81" w:rsidP="00B23D81">
      <w:pPr>
        <w:jc w:val="both"/>
        <w:rPr>
          <w:rFonts w:ascii="Arial" w:hAnsi="Arial" w:cs="Arial"/>
          <w:bCs/>
          <w:sz w:val="24"/>
          <w:szCs w:val="24"/>
        </w:rPr>
      </w:pPr>
      <w:r w:rsidRPr="00FE0BF4">
        <w:rPr>
          <w:rFonts w:ascii="Arial" w:hAnsi="Arial" w:cs="Arial"/>
          <w:bCs/>
          <w:sz w:val="24"/>
          <w:szCs w:val="24"/>
        </w:rPr>
        <w:t xml:space="preserve">It is proposed to vary the Dublin City Development Plan 2022 – 2028, by making </w:t>
      </w:r>
      <w:r>
        <w:rPr>
          <w:rFonts w:ascii="Arial" w:hAnsi="Arial" w:cs="Arial"/>
          <w:bCs/>
          <w:sz w:val="24"/>
          <w:szCs w:val="24"/>
        </w:rPr>
        <w:t>the following amendments:</w:t>
      </w:r>
    </w:p>
    <w:p w14:paraId="78A635F7" w14:textId="77777777" w:rsidR="00B23D81" w:rsidRDefault="00B23D81" w:rsidP="00B23D81">
      <w:pPr>
        <w:jc w:val="both"/>
        <w:rPr>
          <w:rFonts w:ascii="Arial" w:hAnsi="Arial" w:cs="Arial"/>
          <w:bCs/>
          <w:sz w:val="24"/>
          <w:szCs w:val="24"/>
        </w:rPr>
      </w:pPr>
      <w:r w:rsidRPr="00207C26">
        <w:rPr>
          <w:rFonts w:ascii="Arial" w:hAnsi="Arial" w:cs="Arial"/>
          <w:b/>
          <w:bCs/>
          <w:sz w:val="24"/>
          <w:szCs w:val="24"/>
        </w:rPr>
        <w:t>Part A: A technical update in relation to ‘Build-To-Rent’ (BTR) accommodation on foot of the publication of Sustainable Urban Housing: Design Standards for New Apartments – Guidelines for P</w:t>
      </w:r>
      <w:r>
        <w:rPr>
          <w:rFonts w:ascii="Arial" w:hAnsi="Arial" w:cs="Arial"/>
          <w:b/>
          <w:bCs/>
          <w:sz w:val="24"/>
          <w:szCs w:val="24"/>
        </w:rPr>
        <w:t>lanning Authorities, DHLGH, 2023</w:t>
      </w:r>
      <w:r>
        <w:rPr>
          <w:rFonts w:ascii="Arial" w:hAnsi="Arial" w:cs="Arial"/>
          <w:bCs/>
          <w:sz w:val="24"/>
          <w:szCs w:val="24"/>
        </w:rPr>
        <w:t>.</w:t>
      </w:r>
    </w:p>
    <w:p w14:paraId="1B713D4B" w14:textId="77777777" w:rsidR="00B23D81" w:rsidRPr="00207C26" w:rsidRDefault="00B23D81" w:rsidP="00B23D81">
      <w:pPr>
        <w:rPr>
          <w:rFonts w:ascii="Arial" w:hAnsi="Arial" w:cs="Arial"/>
          <w:b/>
          <w:bCs/>
          <w:sz w:val="24"/>
          <w:szCs w:val="24"/>
        </w:rPr>
      </w:pPr>
      <w:r w:rsidRPr="00207C26">
        <w:rPr>
          <w:rFonts w:ascii="Arial" w:hAnsi="Arial" w:cs="Arial"/>
          <w:b/>
          <w:bCs/>
          <w:sz w:val="24"/>
          <w:szCs w:val="24"/>
        </w:rPr>
        <w:t xml:space="preserve">Part B: </w:t>
      </w:r>
      <w:r>
        <w:rPr>
          <w:rFonts w:ascii="Arial" w:hAnsi="Arial" w:cs="Arial"/>
          <w:b/>
          <w:bCs/>
          <w:sz w:val="24"/>
          <w:szCs w:val="24"/>
        </w:rPr>
        <w:t>Insert new Appendix 19 into Volume 2: Appendices of the Dublin City Development Plan 2022 – 2028 containing t</w:t>
      </w:r>
      <w:r w:rsidRPr="00207C26">
        <w:rPr>
          <w:rFonts w:ascii="Arial" w:hAnsi="Arial" w:cs="Arial"/>
          <w:b/>
          <w:sz w:val="24"/>
          <w:szCs w:val="24"/>
        </w:rPr>
        <w:t>ransitional arrangements for Build-To-Rent accommodation</w:t>
      </w:r>
      <w:r>
        <w:rPr>
          <w:rFonts w:ascii="Arial" w:hAnsi="Arial" w:cs="Arial"/>
          <w:b/>
          <w:sz w:val="24"/>
          <w:szCs w:val="24"/>
        </w:rPr>
        <w:t xml:space="preserve"> proposals</w:t>
      </w:r>
      <w:r w:rsidRPr="00207C26">
        <w:rPr>
          <w:rFonts w:ascii="Arial" w:hAnsi="Arial" w:cs="Arial"/>
          <w:b/>
          <w:sz w:val="24"/>
          <w:szCs w:val="24"/>
        </w:rPr>
        <w:t xml:space="preserve"> that are subject to consideration within the planning system on or before 21st December 2022.  </w:t>
      </w:r>
    </w:p>
    <w:p w14:paraId="624923C3" w14:textId="77777777" w:rsidR="00B23D81" w:rsidRDefault="00B23D81" w:rsidP="00B23D81">
      <w:pPr>
        <w:jc w:val="both"/>
        <w:rPr>
          <w:rFonts w:ascii="Arial" w:hAnsi="Arial" w:cs="Arial"/>
          <w:b/>
          <w:bCs/>
          <w:sz w:val="24"/>
          <w:szCs w:val="24"/>
        </w:rPr>
      </w:pPr>
    </w:p>
    <w:p w14:paraId="2AEDCE8D" w14:textId="77777777" w:rsidR="00B23D81" w:rsidRPr="00440E5A" w:rsidRDefault="00B23D81" w:rsidP="00B23D81">
      <w:pPr>
        <w:jc w:val="both"/>
        <w:rPr>
          <w:rFonts w:ascii="Arial" w:hAnsi="Arial" w:cs="Arial"/>
          <w:b/>
          <w:bCs/>
          <w:sz w:val="24"/>
          <w:szCs w:val="24"/>
        </w:rPr>
      </w:pPr>
      <w:r w:rsidRPr="00440E5A">
        <w:rPr>
          <w:rFonts w:ascii="Arial" w:hAnsi="Arial" w:cs="Arial"/>
          <w:b/>
          <w:bCs/>
          <w:sz w:val="24"/>
          <w:szCs w:val="24"/>
        </w:rPr>
        <w:t>Part A: Technical Update</w:t>
      </w:r>
    </w:p>
    <w:p w14:paraId="080287D9" w14:textId="77777777" w:rsidR="00CC190D" w:rsidRDefault="00CC190D" w:rsidP="00CC190D">
      <w:pPr>
        <w:jc w:val="both"/>
        <w:rPr>
          <w:rFonts w:ascii="Arial" w:hAnsi="Arial" w:cs="Arial"/>
          <w:sz w:val="24"/>
          <w:szCs w:val="24"/>
        </w:rPr>
      </w:pPr>
      <w:r>
        <w:rPr>
          <w:rFonts w:ascii="Arial" w:hAnsi="Arial" w:cs="Arial"/>
          <w:color w:val="191919"/>
          <w:spacing w:val="-3"/>
          <w:sz w:val="24"/>
          <w:szCs w:val="24"/>
          <w:shd w:val="clear" w:color="auto" w:fill="FFFFFF"/>
        </w:rPr>
        <w:t xml:space="preserve">Build-To-Rent (BTR) refers to </w:t>
      </w:r>
      <w:r>
        <w:rPr>
          <w:rFonts w:ascii="Arial" w:hAnsi="Arial" w:cs="Arial"/>
          <w:sz w:val="24"/>
          <w:szCs w:val="24"/>
        </w:rPr>
        <w:t>p</w:t>
      </w:r>
      <w:r w:rsidRPr="00276D88">
        <w:rPr>
          <w:rFonts w:ascii="Arial" w:hAnsi="Arial" w:cs="Arial"/>
          <w:sz w:val="24"/>
          <w:szCs w:val="24"/>
        </w:rPr>
        <w:t>urpose-built residential accommodation built specif</w:t>
      </w:r>
      <w:r>
        <w:rPr>
          <w:rFonts w:ascii="Arial" w:hAnsi="Arial" w:cs="Arial"/>
          <w:sz w:val="24"/>
          <w:szCs w:val="24"/>
        </w:rPr>
        <w:t>ically for long-term rental which</w:t>
      </w:r>
      <w:r w:rsidRPr="00276D88">
        <w:rPr>
          <w:rFonts w:ascii="Arial" w:hAnsi="Arial" w:cs="Arial"/>
          <w:sz w:val="24"/>
          <w:szCs w:val="24"/>
        </w:rPr>
        <w:t xml:space="preserve"> is managed and serviced </w:t>
      </w:r>
      <w:r>
        <w:rPr>
          <w:rFonts w:ascii="Arial" w:hAnsi="Arial" w:cs="Arial"/>
          <w:sz w:val="24"/>
          <w:szCs w:val="24"/>
        </w:rPr>
        <w:t xml:space="preserve">in an institutional manner </w:t>
      </w:r>
      <w:r w:rsidRPr="00276D88">
        <w:rPr>
          <w:rFonts w:ascii="Arial" w:hAnsi="Arial" w:cs="Arial"/>
          <w:sz w:val="24"/>
          <w:szCs w:val="24"/>
        </w:rPr>
        <w:t>by an institutional landlord</w:t>
      </w:r>
      <w:r>
        <w:rPr>
          <w:rFonts w:ascii="Arial" w:hAnsi="Arial" w:cs="Arial"/>
          <w:sz w:val="24"/>
          <w:szCs w:val="24"/>
        </w:rPr>
        <w:t xml:space="preserve">. </w:t>
      </w:r>
    </w:p>
    <w:p w14:paraId="642231FF" w14:textId="77777777" w:rsidR="00CC190D" w:rsidRDefault="00CC190D" w:rsidP="00CC190D">
      <w:pPr>
        <w:jc w:val="both"/>
        <w:rPr>
          <w:rFonts w:ascii="Arial" w:hAnsi="Arial" w:cs="Arial"/>
          <w:bCs/>
          <w:sz w:val="24"/>
          <w:szCs w:val="24"/>
        </w:rPr>
      </w:pPr>
      <w:r>
        <w:rPr>
          <w:rFonts w:ascii="Arial" w:hAnsi="Arial" w:cs="Arial"/>
          <w:bCs/>
          <w:sz w:val="24"/>
          <w:szCs w:val="24"/>
        </w:rPr>
        <w:t xml:space="preserve">Build-To-Rent (BTR) development was established as a separate class of development for planning purposes, arising from </w:t>
      </w:r>
      <w:r w:rsidRPr="002E3D8D">
        <w:rPr>
          <w:rFonts w:ascii="Arial" w:hAnsi="Arial" w:cs="Arial"/>
          <w:bCs/>
          <w:i/>
          <w:sz w:val="24"/>
          <w:szCs w:val="24"/>
        </w:rPr>
        <w:t>Sustainable Urban Housing: Design Standards for New Apartments Guidelines for Planning Authorities</w:t>
      </w:r>
      <w:r>
        <w:rPr>
          <w:rFonts w:ascii="Arial" w:hAnsi="Arial" w:cs="Arial"/>
          <w:bCs/>
          <w:sz w:val="24"/>
          <w:szCs w:val="24"/>
        </w:rPr>
        <w:t xml:space="preserve">, as published in 2018 and updated in 2020.  Specifically, these apartments do not have to comply with minimum size standards required for other apartments.  </w:t>
      </w:r>
    </w:p>
    <w:p w14:paraId="0EE4FD40" w14:textId="77777777" w:rsidR="00CC190D" w:rsidRPr="00C8312A" w:rsidRDefault="00CC190D" w:rsidP="00CC190D">
      <w:pPr>
        <w:spacing w:after="0" w:line="240" w:lineRule="auto"/>
        <w:rPr>
          <w:rFonts w:ascii="Arial" w:hAnsi="Arial" w:cs="Arial"/>
          <w:sz w:val="24"/>
          <w:szCs w:val="24"/>
        </w:rPr>
      </w:pPr>
      <w:r>
        <w:rPr>
          <w:rFonts w:ascii="Arial" w:hAnsi="Arial" w:cs="Arial"/>
          <w:sz w:val="24"/>
          <w:szCs w:val="24"/>
        </w:rPr>
        <w:t xml:space="preserve">A </w:t>
      </w:r>
      <w:r w:rsidRPr="00C8312A">
        <w:rPr>
          <w:rFonts w:ascii="Arial" w:hAnsi="Arial" w:cs="Arial"/>
          <w:sz w:val="24"/>
          <w:szCs w:val="24"/>
        </w:rPr>
        <w:t xml:space="preserve">government review of BTR has determined that there is now a sufficient quantum of BTR either permitted or subject to consideration within the planning system.  </w:t>
      </w:r>
    </w:p>
    <w:p w14:paraId="01D42C29" w14:textId="77777777" w:rsidR="00CC190D" w:rsidRDefault="00CC190D" w:rsidP="00CC190D">
      <w:pPr>
        <w:shd w:val="clear" w:color="auto" w:fill="FFFFFF"/>
        <w:spacing w:after="0" w:line="240" w:lineRule="auto"/>
        <w:rPr>
          <w:rFonts w:ascii="Arial" w:hAnsi="Arial" w:cs="Arial"/>
          <w:bCs/>
          <w:sz w:val="24"/>
          <w:szCs w:val="24"/>
        </w:rPr>
      </w:pPr>
    </w:p>
    <w:p w14:paraId="43AEE54E" w14:textId="77777777" w:rsidR="00CC190D" w:rsidRPr="009856BB" w:rsidRDefault="00CC190D" w:rsidP="00CC190D">
      <w:pPr>
        <w:shd w:val="clear" w:color="auto" w:fill="FFFFFF"/>
        <w:spacing w:after="0" w:line="240" w:lineRule="auto"/>
        <w:rPr>
          <w:rFonts w:ascii="Arial" w:eastAsia="Times New Roman" w:hAnsi="Arial" w:cs="Arial"/>
          <w:sz w:val="24"/>
          <w:szCs w:val="24"/>
          <w:lang w:eastAsia="en-IE"/>
        </w:rPr>
      </w:pPr>
      <w:r>
        <w:rPr>
          <w:rFonts w:ascii="Arial" w:hAnsi="Arial" w:cs="Arial"/>
          <w:bCs/>
          <w:sz w:val="24"/>
          <w:szCs w:val="24"/>
        </w:rPr>
        <w:t xml:space="preserve">The </w:t>
      </w:r>
      <w:r w:rsidRPr="00FB659D">
        <w:rPr>
          <w:rFonts w:ascii="Arial" w:hAnsi="Arial" w:cs="Arial"/>
          <w:bCs/>
          <w:sz w:val="24"/>
          <w:szCs w:val="24"/>
        </w:rPr>
        <w:t xml:space="preserve">subsequent publication of the 2022/3 versions of the guidelines - </w:t>
      </w:r>
      <w:r w:rsidRPr="00FB659D">
        <w:rPr>
          <w:rFonts w:ascii="Arial" w:hAnsi="Arial" w:cs="Arial"/>
          <w:bCs/>
          <w:i/>
          <w:sz w:val="24"/>
          <w:szCs w:val="24"/>
        </w:rPr>
        <w:t>Sustainable Urban Housing: Design Standards for New Apartments – Guidelines for Planning Authorities</w:t>
      </w:r>
      <w:r>
        <w:rPr>
          <w:rFonts w:ascii="Arial" w:hAnsi="Arial" w:cs="Arial"/>
          <w:bCs/>
          <w:sz w:val="24"/>
          <w:szCs w:val="24"/>
        </w:rPr>
        <w:t>, DHLGH,</w:t>
      </w:r>
      <w:r w:rsidRPr="00FB659D">
        <w:rPr>
          <w:rFonts w:ascii="Arial" w:hAnsi="Arial" w:cs="Arial"/>
          <w:bCs/>
          <w:sz w:val="24"/>
          <w:szCs w:val="24"/>
        </w:rPr>
        <w:t xml:space="preserve"> </w:t>
      </w:r>
      <w:r>
        <w:rPr>
          <w:rFonts w:ascii="Arial" w:hAnsi="Arial" w:cs="Arial"/>
          <w:bCs/>
          <w:sz w:val="24"/>
          <w:szCs w:val="24"/>
        </w:rPr>
        <w:t xml:space="preserve">outlines </w:t>
      </w:r>
      <w:r w:rsidRPr="00FB659D">
        <w:rPr>
          <w:rFonts w:ascii="Arial" w:hAnsi="Arial" w:cs="Arial"/>
          <w:bCs/>
          <w:sz w:val="24"/>
          <w:szCs w:val="24"/>
        </w:rPr>
        <w:t>Build-to-Rent (BTR) accommodation is no longer identified as a specific housing typology which, for the purposes of the planning system, requires specific guidance / design standards.  T</w:t>
      </w:r>
      <w:r w:rsidRPr="00FB659D">
        <w:rPr>
          <w:rFonts w:ascii="Arial" w:eastAsia="Times New Roman" w:hAnsi="Arial" w:cs="Arial"/>
          <w:sz w:val="24"/>
          <w:szCs w:val="24"/>
          <w:lang w:eastAsia="en-IE"/>
        </w:rPr>
        <w:t xml:space="preserve">he standards for BTR development </w:t>
      </w:r>
      <w:r>
        <w:rPr>
          <w:rFonts w:ascii="Arial" w:eastAsia="Times New Roman" w:hAnsi="Arial" w:cs="Arial"/>
          <w:sz w:val="24"/>
          <w:szCs w:val="24"/>
          <w:lang w:eastAsia="en-IE"/>
        </w:rPr>
        <w:t xml:space="preserve">is now </w:t>
      </w:r>
      <w:r w:rsidRPr="00FB659D">
        <w:rPr>
          <w:rFonts w:ascii="Arial" w:eastAsia="Times New Roman" w:hAnsi="Arial" w:cs="Arial"/>
          <w:sz w:val="24"/>
          <w:szCs w:val="24"/>
          <w:lang w:eastAsia="en-IE"/>
        </w:rPr>
        <w:t xml:space="preserve">the same as those for all other </w:t>
      </w:r>
      <w:r w:rsidRPr="009856BB">
        <w:rPr>
          <w:rFonts w:ascii="Arial" w:eastAsia="Times New Roman" w:hAnsi="Arial" w:cs="Arial"/>
          <w:sz w:val="24"/>
          <w:szCs w:val="24"/>
          <w:lang w:eastAsia="en-IE"/>
        </w:rPr>
        <w:t>permitted apartment development</w:t>
      </w:r>
      <w:r>
        <w:rPr>
          <w:rFonts w:ascii="Arial" w:eastAsia="Times New Roman" w:hAnsi="Arial" w:cs="Arial"/>
          <w:sz w:val="24"/>
          <w:szCs w:val="24"/>
          <w:lang w:eastAsia="en-IE"/>
        </w:rPr>
        <w:t>.</w:t>
      </w:r>
    </w:p>
    <w:p w14:paraId="279FB4F6" w14:textId="77777777" w:rsidR="00CC190D" w:rsidRDefault="00CC190D" w:rsidP="00CC190D">
      <w:pPr>
        <w:jc w:val="both"/>
        <w:rPr>
          <w:rFonts w:ascii="Arial" w:hAnsi="Arial" w:cs="Arial"/>
          <w:bCs/>
          <w:sz w:val="24"/>
          <w:szCs w:val="24"/>
        </w:rPr>
      </w:pPr>
    </w:p>
    <w:p w14:paraId="34EE00C2" w14:textId="476732C0" w:rsidR="00CC190D" w:rsidRDefault="00CC190D" w:rsidP="00CC190D">
      <w:pPr>
        <w:jc w:val="both"/>
        <w:rPr>
          <w:rFonts w:ascii="Arial" w:hAnsi="Arial" w:cs="Arial"/>
          <w:bCs/>
          <w:sz w:val="24"/>
          <w:szCs w:val="24"/>
        </w:rPr>
      </w:pPr>
      <w:r>
        <w:rPr>
          <w:rFonts w:ascii="Arial" w:hAnsi="Arial" w:cs="Arial"/>
          <w:bCs/>
          <w:sz w:val="24"/>
          <w:szCs w:val="24"/>
        </w:rPr>
        <w:t xml:space="preserve">Consequently it is proposed to amend the Development Plan by updating references to BTR where required and by deleting now out of date references, policies, objectives and standards pertaining to ‘Build-To-Rent’ accommodation throughout the plan.  </w:t>
      </w:r>
    </w:p>
    <w:p w14:paraId="61E47857" w14:textId="091EA0DB" w:rsidR="00B23D81" w:rsidRDefault="00B23D81" w:rsidP="00B23D81">
      <w:pPr>
        <w:jc w:val="both"/>
        <w:rPr>
          <w:rFonts w:ascii="Arial" w:hAnsi="Arial" w:cs="Arial"/>
          <w:bCs/>
          <w:sz w:val="24"/>
          <w:szCs w:val="24"/>
        </w:rPr>
      </w:pPr>
      <w:r>
        <w:rPr>
          <w:rFonts w:ascii="Arial" w:hAnsi="Arial" w:cs="Arial"/>
          <w:bCs/>
          <w:sz w:val="24"/>
          <w:szCs w:val="24"/>
        </w:rPr>
        <w:t>Table 1 below signp</w:t>
      </w:r>
      <w:r w:rsidR="003F7719">
        <w:rPr>
          <w:rFonts w:ascii="Arial" w:hAnsi="Arial" w:cs="Arial"/>
          <w:bCs/>
          <w:sz w:val="24"/>
          <w:szCs w:val="24"/>
        </w:rPr>
        <w:t xml:space="preserve">osts these proposed amendments.  </w:t>
      </w:r>
    </w:p>
    <w:p w14:paraId="14E99646" w14:textId="77777777" w:rsidR="00B23D81" w:rsidRPr="004E6B4D" w:rsidRDefault="00B23D81" w:rsidP="00B23D81">
      <w:pPr>
        <w:jc w:val="both"/>
        <w:rPr>
          <w:rFonts w:ascii="Arial" w:hAnsi="Arial" w:cs="Arial"/>
          <w:b/>
          <w:bCs/>
          <w:sz w:val="16"/>
          <w:szCs w:val="16"/>
        </w:rPr>
      </w:pPr>
      <w:r w:rsidRPr="004E6B4D">
        <w:rPr>
          <w:rFonts w:ascii="Arial" w:hAnsi="Arial" w:cs="Arial"/>
          <w:b/>
          <w:bCs/>
          <w:sz w:val="16"/>
          <w:szCs w:val="16"/>
        </w:rPr>
        <w:t xml:space="preserve">Table 1: Summary of </w:t>
      </w:r>
      <w:r>
        <w:rPr>
          <w:rFonts w:ascii="Arial" w:hAnsi="Arial" w:cs="Arial"/>
          <w:b/>
          <w:bCs/>
          <w:sz w:val="16"/>
          <w:szCs w:val="16"/>
        </w:rPr>
        <w:t xml:space="preserve">proposed technical update to the Dublin City Development Plan </w:t>
      </w:r>
      <w:r w:rsidRPr="004E6B4D">
        <w:rPr>
          <w:rFonts w:ascii="Arial" w:hAnsi="Arial" w:cs="Arial"/>
          <w:b/>
          <w:bCs/>
          <w:sz w:val="16"/>
          <w:szCs w:val="16"/>
        </w:rPr>
        <w:t>2022 - 2028</w:t>
      </w:r>
    </w:p>
    <w:tbl>
      <w:tblPr>
        <w:tblStyle w:val="TableGrid"/>
        <w:tblW w:w="0" w:type="auto"/>
        <w:tblLook w:val="04A0" w:firstRow="1" w:lastRow="0" w:firstColumn="1" w:lastColumn="0" w:noHBand="0" w:noVBand="1"/>
        <w:tblCaption w:val="Table 1: Summary of proposed technical update to the Dublin City Development Plan 2022 - 2028"/>
        <w:tblDescription w:val="Table 1 outlining summary of proposed technical update to the Dublin City Development Plan 2022 - 2028"/>
      </w:tblPr>
      <w:tblGrid>
        <w:gridCol w:w="2254"/>
        <w:gridCol w:w="2136"/>
        <w:gridCol w:w="4110"/>
      </w:tblGrid>
      <w:tr w:rsidR="00B23D81" w:rsidRPr="00A67081" w14:paraId="48A8860D" w14:textId="77777777" w:rsidTr="00C61CA9">
        <w:tc>
          <w:tcPr>
            <w:tcW w:w="2254" w:type="dxa"/>
          </w:tcPr>
          <w:p w14:paraId="6036A7C9" w14:textId="77777777" w:rsidR="00B23D81" w:rsidRPr="005C7397" w:rsidRDefault="00B23D81" w:rsidP="00C61CA9">
            <w:pPr>
              <w:rPr>
                <w:rFonts w:ascii="Arial" w:hAnsi="Arial" w:cs="Arial"/>
                <w:b/>
              </w:rPr>
            </w:pPr>
            <w:r w:rsidRPr="005C7397">
              <w:rPr>
                <w:rFonts w:ascii="Arial" w:hAnsi="Arial" w:cs="Arial"/>
                <w:b/>
              </w:rPr>
              <w:t>Chapter / Appendix</w:t>
            </w:r>
          </w:p>
        </w:tc>
        <w:tc>
          <w:tcPr>
            <w:tcW w:w="2136" w:type="dxa"/>
          </w:tcPr>
          <w:p w14:paraId="2BCFB83E" w14:textId="77777777" w:rsidR="00B23D81" w:rsidRDefault="00B23D81" w:rsidP="00C61CA9">
            <w:pPr>
              <w:rPr>
                <w:rFonts w:ascii="Arial" w:hAnsi="Arial" w:cs="Arial"/>
                <w:b/>
              </w:rPr>
            </w:pPr>
            <w:r>
              <w:rPr>
                <w:rFonts w:ascii="Arial" w:hAnsi="Arial" w:cs="Arial"/>
                <w:b/>
              </w:rPr>
              <w:t>Amendment</w:t>
            </w:r>
          </w:p>
          <w:p w14:paraId="5ADBDD6A" w14:textId="77777777" w:rsidR="00B23D81" w:rsidRPr="005C7397" w:rsidRDefault="00B23D81" w:rsidP="00C61CA9">
            <w:pPr>
              <w:rPr>
                <w:rFonts w:ascii="Arial" w:hAnsi="Arial" w:cs="Arial"/>
                <w:b/>
              </w:rPr>
            </w:pPr>
            <w:r w:rsidRPr="005C7397">
              <w:rPr>
                <w:rFonts w:ascii="Arial" w:hAnsi="Arial" w:cs="Arial"/>
                <w:b/>
              </w:rPr>
              <w:t>Delete / Inset</w:t>
            </w:r>
            <w:r>
              <w:rPr>
                <w:rFonts w:ascii="Arial" w:hAnsi="Arial" w:cs="Arial"/>
                <w:b/>
              </w:rPr>
              <w:t xml:space="preserve"> </w:t>
            </w:r>
          </w:p>
        </w:tc>
        <w:tc>
          <w:tcPr>
            <w:tcW w:w="4110" w:type="dxa"/>
          </w:tcPr>
          <w:p w14:paraId="3FCA22DE" w14:textId="77777777" w:rsidR="00B23D81" w:rsidRPr="005C7397" w:rsidRDefault="00B23D81" w:rsidP="00C61CA9">
            <w:pPr>
              <w:rPr>
                <w:rFonts w:ascii="Arial" w:hAnsi="Arial" w:cs="Arial"/>
                <w:b/>
              </w:rPr>
            </w:pPr>
            <w:r>
              <w:rPr>
                <w:rFonts w:ascii="Arial" w:hAnsi="Arial" w:cs="Arial"/>
                <w:b/>
              </w:rPr>
              <w:t xml:space="preserve">Text / </w:t>
            </w:r>
            <w:r w:rsidRPr="005C7397">
              <w:rPr>
                <w:rFonts w:ascii="Arial" w:hAnsi="Arial" w:cs="Arial"/>
                <w:b/>
              </w:rPr>
              <w:t xml:space="preserve">Policy / </w:t>
            </w:r>
            <w:r>
              <w:rPr>
                <w:rFonts w:ascii="Arial" w:hAnsi="Arial" w:cs="Arial"/>
                <w:b/>
              </w:rPr>
              <w:t>Objectives / Standards</w:t>
            </w:r>
          </w:p>
        </w:tc>
      </w:tr>
      <w:tr w:rsidR="00B23D81" w14:paraId="70313D89" w14:textId="77777777" w:rsidTr="00C61CA9">
        <w:tc>
          <w:tcPr>
            <w:tcW w:w="2254" w:type="dxa"/>
          </w:tcPr>
          <w:p w14:paraId="042B6DAE" w14:textId="77777777" w:rsidR="00B23D81" w:rsidRPr="005C7397" w:rsidRDefault="00B23D81" w:rsidP="00C61CA9">
            <w:r w:rsidRPr="005C7397">
              <w:rPr>
                <w:rFonts w:ascii="Arial" w:hAnsi="Arial" w:cs="Arial"/>
              </w:rPr>
              <w:t>Table of Contents</w:t>
            </w:r>
          </w:p>
        </w:tc>
        <w:tc>
          <w:tcPr>
            <w:tcW w:w="2136" w:type="dxa"/>
          </w:tcPr>
          <w:p w14:paraId="111B4E3B" w14:textId="77777777" w:rsidR="00B23D81" w:rsidRPr="005C7397" w:rsidRDefault="00B23D81" w:rsidP="00C61CA9">
            <w:pPr>
              <w:rPr>
                <w:rFonts w:ascii="Arial" w:hAnsi="Arial" w:cs="Arial"/>
              </w:rPr>
            </w:pPr>
            <w:r w:rsidRPr="005C7397">
              <w:rPr>
                <w:rFonts w:ascii="Arial" w:hAnsi="Arial" w:cs="Arial"/>
              </w:rPr>
              <w:t>Delete</w:t>
            </w:r>
          </w:p>
        </w:tc>
        <w:tc>
          <w:tcPr>
            <w:tcW w:w="4110" w:type="dxa"/>
          </w:tcPr>
          <w:p w14:paraId="5F94F2BE" w14:textId="77777777" w:rsidR="00B23D81" w:rsidRPr="005C7397" w:rsidRDefault="00B23D81" w:rsidP="00C61CA9">
            <w:pPr>
              <w:rPr>
                <w:rFonts w:ascii="Arial" w:hAnsi="Arial" w:cs="Arial"/>
              </w:rPr>
            </w:pPr>
            <w:r w:rsidRPr="005C7397">
              <w:rPr>
                <w:rFonts w:ascii="Arial" w:hAnsi="Arial" w:cs="Arial"/>
              </w:rPr>
              <w:t xml:space="preserve">section </w:t>
            </w:r>
            <w:r w:rsidRPr="005C7397">
              <w:rPr>
                <w:rFonts w:ascii="Arial" w:hAnsi="Arial" w:cs="Arial"/>
                <w:b/>
              </w:rPr>
              <w:t>15.10 and page number</w:t>
            </w:r>
          </w:p>
        </w:tc>
      </w:tr>
      <w:tr w:rsidR="00B23D81" w14:paraId="4A8D379E" w14:textId="77777777" w:rsidTr="00C61CA9">
        <w:tc>
          <w:tcPr>
            <w:tcW w:w="2254" w:type="dxa"/>
          </w:tcPr>
          <w:p w14:paraId="2C129ACB" w14:textId="77777777" w:rsidR="00B23D81" w:rsidRPr="005C7397" w:rsidRDefault="00B23D81" w:rsidP="00C61CA9">
            <w:pPr>
              <w:jc w:val="both"/>
              <w:rPr>
                <w:rFonts w:ascii="Arial" w:hAnsi="Arial" w:cs="Arial"/>
                <w:bCs/>
              </w:rPr>
            </w:pPr>
            <w:r w:rsidRPr="005C7397">
              <w:rPr>
                <w:rFonts w:ascii="Arial" w:hAnsi="Arial" w:cs="Arial"/>
                <w:bCs/>
              </w:rPr>
              <w:lastRenderedPageBreak/>
              <w:t>Chapter 5: Quality Housing and Sustainable Neighbourhoods</w:t>
            </w:r>
          </w:p>
          <w:p w14:paraId="60C9387C" w14:textId="77777777" w:rsidR="00B23D81" w:rsidRPr="005C7397" w:rsidRDefault="00B23D81" w:rsidP="00C61CA9"/>
        </w:tc>
        <w:tc>
          <w:tcPr>
            <w:tcW w:w="2136" w:type="dxa"/>
          </w:tcPr>
          <w:p w14:paraId="2288C59D" w14:textId="77777777" w:rsidR="00B23D81" w:rsidRDefault="00B23D81" w:rsidP="00C61CA9">
            <w:pPr>
              <w:rPr>
                <w:rFonts w:ascii="Arial" w:hAnsi="Arial" w:cs="Arial"/>
              </w:rPr>
            </w:pPr>
            <w:r>
              <w:rPr>
                <w:rFonts w:ascii="Arial" w:hAnsi="Arial" w:cs="Arial"/>
              </w:rPr>
              <w:t>Amendment</w:t>
            </w:r>
          </w:p>
          <w:p w14:paraId="7411E655" w14:textId="77777777" w:rsidR="00B23D81" w:rsidRPr="005C7397" w:rsidRDefault="00B23D81" w:rsidP="00C61CA9">
            <w:pPr>
              <w:rPr>
                <w:rFonts w:ascii="Arial" w:hAnsi="Arial" w:cs="Arial"/>
              </w:rPr>
            </w:pPr>
            <w:r>
              <w:rPr>
                <w:rFonts w:ascii="Arial" w:hAnsi="Arial" w:cs="Arial"/>
              </w:rPr>
              <w:t>Delete / Insert text</w:t>
            </w:r>
          </w:p>
        </w:tc>
        <w:tc>
          <w:tcPr>
            <w:tcW w:w="4110" w:type="dxa"/>
          </w:tcPr>
          <w:p w14:paraId="6DBE43F6" w14:textId="77777777" w:rsidR="00B23D81" w:rsidRPr="005C7397" w:rsidRDefault="00B23D81" w:rsidP="00C61CA9">
            <w:pPr>
              <w:rPr>
                <w:rFonts w:ascii="Arial" w:hAnsi="Arial" w:cs="Arial"/>
                <w:b/>
              </w:rPr>
            </w:pPr>
            <w:r w:rsidRPr="005C7397">
              <w:rPr>
                <w:rFonts w:ascii="Arial" w:hAnsi="Arial" w:cs="Arial"/>
                <w:b/>
              </w:rPr>
              <w:t xml:space="preserve">Section 5.5.7 </w:t>
            </w:r>
          </w:p>
          <w:p w14:paraId="37422296" w14:textId="77777777" w:rsidR="00B23D81" w:rsidRPr="005C7397" w:rsidRDefault="00B23D81" w:rsidP="00C61CA9">
            <w:pPr>
              <w:rPr>
                <w:rFonts w:ascii="Arial" w:hAnsi="Arial" w:cs="Arial"/>
              </w:rPr>
            </w:pPr>
            <w:r w:rsidRPr="005C7397">
              <w:rPr>
                <w:rFonts w:ascii="Arial" w:hAnsi="Arial" w:cs="Arial"/>
              </w:rPr>
              <w:t xml:space="preserve">Specific Housing Typologies  </w:t>
            </w:r>
          </w:p>
          <w:p w14:paraId="7F35B5D2" w14:textId="77777777" w:rsidR="00B23D81" w:rsidRPr="005C7397" w:rsidRDefault="00B23D81" w:rsidP="00C61CA9">
            <w:pPr>
              <w:rPr>
                <w:rFonts w:ascii="Arial" w:hAnsi="Arial" w:cs="Arial"/>
              </w:rPr>
            </w:pPr>
            <w:r w:rsidRPr="005C7397">
              <w:rPr>
                <w:rFonts w:ascii="Arial" w:hAnsi="Arial" w:cs="Arial"/>
              </w:rPr>
              <w:t>Build to Rent (BTR) and Shared Accommodation</w:t>
            </w:r>
          </w:p>
        </w:tc>
      </w:tr>
      <w:tr w:rsidR="00B23D81" w14:paraId="253BDCBB" w14:textId="77777777" w:rsidTr="00C61CA9">
        <w:tc>
          <w:tcPr>
            <w:tcW w:w="2254" w:type="dxa"/>
          </w:tcPr>
          <w:p w14:paraId="269B8BD5" w14:textId="77777777" w:rsidR="00B23D81" w:rsidRPr="005C7397" w:rsidRDefault="00B23D81" w:rsidP="00C61CA9">
            <w:pPr>
              <w:jc w:val="both"/>
              <w:rPr>
                <w:rFonts w:ascii="Arial" w:hAnsi="Arial" w:cs="Arial"/>
              </w:rPr>
            </w:pPr>
            <w:r w:rsidRPr="005C7397">
              <w:rPr>
                <w:rFonts w:ascii="Arial" w:hAnsi="Arial" w:cs="Arial"/>
              </w:rPr>
              <w:t>Chapter 14 Land Use Zoning</w:t>
            </w:r>
          </w:p>
          <w:p w14:paraId="38501F47" w14:textId="77777777" w:rsidR="00B23D81" w:rsidRPr="005C7397" w:rsidRDefault="00B23D81" w:rsidP="00C61CA9"/>
        </w:tc>
        <w:tc>
          <w:tcPr>
            <w:tcW w:w="2136" w:type="dxa"/>
          </w:tcPr>
          <w:p w14:paraId="74CCC9C5" w14:textId="77777777" w:rsidR="00B23D81" w:rsidRPr="005C7397" w:rsidRDefault="00B23D81" w:rsidP="00C61CA9">
            <w:pPr>
              <w:rPr>
                <w:rFonts w:ascii="Arial" w:hAnsi="Arial" w:cs="Arial"/>
              </w:rPr>
            </w:pPr>
            <w:r w:rsidRPr="005C7397">
              <w:rPr>
                <w:rFonts w:ascii="Arial" w:hAnsi="Arial" w:cs="Arial"/>
              </w:rPr>
              <w:t>Delete text in</w:t>
            </w:r>
          </w:p>
        </w:tc>
        <w:tc>
          <w:tcPr>
            <w:tcW w:w="4110" w:type="dxa"/>
          </w:tcPr>
          <w:p w14:paraId="6F6588BE" w14:textId="77777777" w:rsidR="00B23D81" w:rsidRPr="005C7397" w:rsidRDefault="00B23D81" w:rsidP="00C61CA9">
            <w:pPr>
              <w:rPr>
                <w:rFonts w:ascii="Arial" w:hAnsi="Arial" w:cs="Arial"/>
              </w:rPr>
            </w:pPr>
            <w:r w:rsidRPr="005C7397">
              <w:rPr>
                <w:rFonts w:ascii="Arial" w:hAnsi="Arial" w:cs="Arial"/>
              </w:rPr>
              <w:t xml:space="preserve">Land Use Zoning Objectives - Sections </w:t>
            </w:r>
            <w:r w:rsidRPr="005C7397">
              <w:rPr>
                <w:rFonts w:ascii="Arial" w:hAnsi="Arial" w:cs="Arial"/>
                <w:b/>
              </w:rPr>
              <w:t>14.7.1, 14.7.2, 14.7.4, 14.7.5, 14.7.10, 14.7.12, 14.7.13</w:t>
            </w:r>
            <w:r w:rsidRPr="005C7397">
              <w:rPr>
                <w:rFonts w:ascii="Arial" w:hAnsi="Arial" w:cs="Arial"/>
              </w:rPr>
              <w:t xml:space="preserve">, </w:t>
            </w:r>
          </w:p>
        </w:tc>
      </w:tr>
      <w:tr w:rsidR="00B23D81" w14:paraId="574BC140" w14:textId="77777777" w:rsidTr="00C61CA9">
        <w:tc>
          <w:tcPr>
            <w:tcW w:w="2254" w:type="dxa"/>
          </w:tcPr>
          <w:p w14:paraId="048FC795" w14:textId="77777777" w:rsidR="00B23D81" w:rsidRPr="005C7397" w:rsidRDefault="00B23D81" w:rsidP="00C61CA9">
            <w:pPr>
              <w:jc w:val="both"/>
              <w:rPr>
                <w:rFonts w:ascii="Arial" w:hAnsi="Arial" w:cs="Arial"/>
              </w:rPr>
            </w:pPr>
            <w:r w:rsidRPr="005C7397">
              <w:rPr>
                <w:rFonts w:ascii="Arial" w:hAnsi="Arial" w:cs="Arial"/>
              </w:rPr>
              <w:t>Chapter 15 Development Standards</w:t>
            </w:r>
          </w:p>
          <w:p w14:paraId="1AE843D9" w14:textId="77777777" w:rsidR="00B23D81" w:rsidRPr="005C7397" w:rsidRDefault="00B23D81" w:rsidP="00C61CA9">
            <w:pPr>
              <w:jc w:val="both"/>
              <w:rPr>
                <w:rFonts w:ascii="Arial" w:hAnsi="Arial" w:cs="Arial"/>
              </w:rPr>
            </w:pPr>
          </w:p>
        </w:tc>
        <w:tc>
          <w:tcPr>
            <w:tcW w:w="2136" w:type="dxa"/>
          </w:tcPr>
          <w:p w14:paraId="5B7F8F75" w14:textId="77777777" w:rsidR="00B23D81" w:rsidRPr="005C7397" w:rsidRDefault="00B23D81" w:rsidP="00C61CA9">
            <w:pPr>
              <w:rPr>
                <w:rFonts w:ascii="Arial" w:hAnsi="Arial" w:cs="Arial"/>
              </w:rPr>
            </w:pPr>
            <w:r w:rsidRPr="005C7397">
              <w:rPr>
                <w:rFonts w:ascii="Arial" w:hAnsi="Arial" w:cs="Arial"/>
              </w:rPr>
              <w:t>Delete text in</w:t>
            </w:r>
          </w:p>
          <w:p w14:paraId="47AF5B1D" w14:textId="77777777" w:rsidR="00B23D81" w:rsidRPr="005C7397" w:rsidRDefault="00B23D81" w:rsidP="00C61CA9">
            <w:pPr>
              <w:rPr>
                <w:rFonts w:ascii="Arial" w:hAnsi="Arial" w:cs="Arial"/>
              </w:rPr>
            </w:pPr>
          </w:p>
          <w:p w14:paraId="2D4738AF" w14:textId="77777777" w:rsidR="00B23D81" w:rsidRPr="005C7397" w:rsidRDefault="00B23D81" w:rsidP="00C61CA9">
            <w:pPr>
              <w:rPr>
                <w:rFonts w:ascii="Arial" w:hAnsi="Arial" w:cs="Arial"/>
              </w:rPr>
            </w:pPr>
          </w:p>
          <w:p w14:paraId="2056608D" w14:textId="77777777" w:rsidR="00B23D81" w:rsidRPr="005C7397" w:rsidRDefault="00B23D81" w:rsidP="00C61CA9">
            <w:pPr>
              <w:rPr>
                <w:rFonts w:ascii="Arial" w:hAnsi="Arial" w:cs="Arial"/>
              </w:rPr>
            </w:pPr>
          </w:p>
          <w:p w14:paraId="2CC2C5EF" w14:textId="77777777" w:rsidR="00B23D81" w:rsidRPr="005C7397" w:rsidRDefault="00B23D81" w:rsidP="00C61CA9">
            <w:pPr>
              <w:rPr>
                <w:rFonts w:ascii="Arial" w:hAnsi="Arial" w:cs="Arial"/>
              </w:rPr>
            </w:pPr>
          </w:p>
        </w:tc>
        <w:tc>
          <w:tcPr>
            <w:tcW w:w="4110" w:type="dxa"/>
          </w:tcPr>
          <w:p w14:paraId="47302AF4" w14:textId="77777777" w:rsidR="00B23D81" w:rsidRPr="005C7397" w:rsidRDefault="00B23D81" w:rsidP="00C61CA9">
            <w:pPr>
              <w:rPr>
                <w:rFonts w:ascii="Arial" w:hAnsi="Arial" w:cs="Arial"/>
              </w:rPr>
            </w:pPr>
            <w:r w:rsidRPr="005C7397">
              <w:rPr>
                <w:rFonts w:ascii="Arial" w:hAnsi="Arial" w:cs="Arial"/>
                <w:b/>
              </w:rPr>
              <w:t>Section 15.8</w:t>
            </w:r>
            <w:r w:rsidRPr="005C7397">
              <w:rPr>
                <w:rFonts w:ascii="Arial" w:hAnsi="Arial" w:cs="Arial"/>
              </w:rPr>
              <w:t xml:space="preserve"> </w:t>
            </w:r>
          </w:p>
          <w:p w14:paraId="1DECB746" w14:textId="77777777" w:rsidR="00B23D81" w:rsidRPr="005C7397" w:rsidRDefault="00B23D81" w:rsidP="00C61CA9">
            <w:pPr>
              <w:rPr>
                <w:rFonts w:ascii="Arial" w:hAnsi="Arial" w:cs="Arial"/>
              </w:rPr>
            </w:pPr>
            <w:r w:rsidRPr="005C7397">
              <w:rPr>
                <w:rFonts w:ascii="Arial" w:hAnsi="Arial" w:cs="Arial"/>
              </w:rPr>
              <w:t>Residential Development</w:t>
            </w:r>
          </w:p>
          <w:p w14:paraId="1D3FA9BC" w14:textId="77777777" w:rsidR="00B23D81" w:rsidRPr="005C7397" w:rsidRDefault="00B23D81" w:rsidP="00C61CA9">
            <w:pPr>
              <w:rPr>
                <w:rFonts w:ascii="Arial" w:hAnsi="Arial" w:cs="Arial"/>
              </w:rPr>
            </w:pPr>
            <w:r w:rsidRPr="005C7397">
              <w:rPr>
                <w:rFonts w:ascii="Arial" w:hAnsi="Arial" w:cs="Arial"/>
                <w:b/>
              </w:rPr>
              <w:t>Section 15.9.1</w:t>
            </w:r>
            <w:r w:rsidRPr="005C7397">
              <w:rPr>
                <w:rFonts w:ascii="Arial" w:hAnsi="Arial" w:cs="Arial"/>
              </w:rPr>
              <w:t xml:space="preserve"> Unit Mix</w:t>
            </w:r>
          </w:p>
          <w:p w14:paraId="2E5F58B4" w14:textId="77777777" w:rsidR="00B23D81" w:rsidRPr="005C7397" w:rsidRDefault="00B23D81" w:rsidP="00C61CA9">
            <w:pPr>
              <w:rPr>
                <w:rFonts w:ascii="Arial" w:hAnsi="Arial" w:cs="Arial"/>
              </w:rPr>
            </w:pPr>
            <w:r w:rsidRPr="005C7397">
              <w:rPr>
                <w:rFonts w:ascii="Arial" w:hAnsi="Arial" w:cs="Arial"/>
                <w:b/>
              </w:rPr>
              <w:t>Section 15.9.2</w:t>
            </w:r>
            <w:r w:rsidRPr="005C7397">
              <w:rPr>
                <w:rFonts w:ascii="Arial" w:hAnsi="Arial" w:cs="Arial"/>
              </w:rPr>
              <w:t xml:space="preserve"> Unit Size / Layout</w:t>
            </w:r>
          </w:p>
          <w:p w14:paraId="1ADACF34" w14:textId="77777777" w:rsidR="00B23D81" w:rsidRPr="005C7397" w:rsidRDefault="00B23D81" w:rsidP="00C61CA9">
            <w:pPr>
              <w:rPr>
                <w:rFonts w:ascii="Arial" w:hAnsi="Arial" w:cs="Arial"/>
              </w:rPr>
            </w:pPr>
          </w:p>
        </w:tc>
      </w:tr>
      <w:tr w:rsidR="00B23D81" w14:paraId="469614F6" w14:textId="77777777" w:rsidTr="00C61CA9">
        <w:tc>
          <w:tcPr>
            <w:tcW w:w="2254" w:type="dxa"/>
          </w:tcPr>
          <w:p w14:paraId="10419968" w14:textId="77777777" w:rsidR="00B23D81" w:rsidRPr="005C7397" w:rsidRDefault="00B23D81" w:rsidP="00C61CA9">
            <w:pPr>
              <w:jc w:val="both"/>
              <w:rPr>
                <w:rFonts w:ascii="Arial" w:hAnsi="Arial" w:cs="Arial"/>
              </w:rPr>
            </w:pPr>
            <w:r w:rsidRPr="005C7397">
              <w:rPr>
                <w:rFonts w:ascii="Arial" w:hAnsi="Arial" w:cs="Arial"/>
              </w:rPr>
              <w:t>Chapter 15 Development Standards</w:t>
            </w:r>
          </w:p>
          <w:p w14:paraId="3FA6E680" w14:textId="77777777" w:rsidR="00B23D81" w:rsidRPr="005C7397" w:rsidRDefault="00B23D81" w:rsidP="00C61CA9">
            <w:pPr>
              <w:jc w:val="both"/>
              <w:rPr>
                <w:rFonts w:ascii="Arial" w:hAnsi="Arial" w:cs="Arial"/>
              </w:rPr>
            </w:pPr>
          </w:p>
        </w:tc>
        <w:tc>
          <w:tcPr>
            <w:tcW w:w="2136" w:type="dxa"/>
          </w:tcPr>
          <w:p w14:paraId="00E58D6D" w14:textId="77777777" w:rsidR="00B23D81" w:rsidRPr="005C7397" w:rsidRDefault="00B23D81" w:rsidP="00C61CA9">
            <w:pPr>
              <w:rPr>
                <w:rFonts w:ascii="Arial" w:hAnsi="Arial" w:cs="Arial"/>
              </w:rPr>
            </w:pPr>
            <w:r w:rsidRPr="005C7397">
              <w:rPr>
                <w:rFonts w:ascii="Arial" w:hAnsi="Arial" w:cs="Arial"/>
              </w:rPr>
              <w:t xml:space="preserve">Delete </w:t>
            </w:r>
            <w:r w:rsidRPr="005C7397">
              <w:rPr>
                <w:rFonts w:ascii="Arial" w:hAnsi="Arial" w:cs="Arial"/>
                <w:u w:val="single"/>
              </w:rPr>
              <w:t>all</w:t>
            </w:r>
            <w:r w:rsidRPr="005C7397">
              <w:rPr>
                <w:rFonts w:ascii="Arial" w:hAnsi="Arial" w:cs="Arial"/>
              </w:rPr>
              <w:t xml:space="preserve"> text</w:t>
            </w:r>
          </w:p>
        </w:tc>
        <w:tc>
          <w:tcPr>
            <w:tcW w:w="4110" w:type="dxa"/>
          </w:tcPr>
          <w:p w14:paraId="016F48AC" w14:textId="77777777" w:rsidR="00B23D81" w:rsidRPr="005C7397" w:rsidRDefault="00B23D81" w:rsidP="00C61CA9">
            <w:pPr>
              <w:rPr>
                <w:rFonts w:ascii="Arial" w:hAnsi="Arial" w:cs="Arial"/>
              </w:rPr>
            </w:pPr>
            <w:r w:rsidRPr="005C7397">
              <w:rPr>
                <w:rFonts w:ascii="Arial" w:hAnsi="Arial" w:cs="Arial"/>
                <w:b/>
              </w:rPr>
              <w:t>Section 15.10</w:t>
            </w:r>
            <w:r w:rsidRPr="005C7397">
              <w:rPr>
                <w:rFonts w:ascii="Arial" w:hAnsi="Arial" w:cs="Arial"/>
              </w:rPr>
              <w:t xml:space="preserve"> </w:t>
            </w:r>
          </w:p>
          <w:p w14:paraId="25439932" w14:textId="77777777" w:rsidR="00B23D81" w:rsidRPr="005C7397" w:rsidRDefault="00B23D81" w:rsidP="00C61CA9">
            <w:pPr>
              <w:rPr>
                <w:rFonts w:ascii="Arial" w:hAnsi="Arial" w:cs="Arial"/>
              </w:rPr>
            </w:pPr>
            <w:r w:rsidRPr="005C7397">
              <w:rPr>
                <w:rFonts w:ascii="Arial" w:hAnsi="Arial" w:cs="Arial"/>
              </w:rPr>
              <w:t>Build to Rent Residential Development (BTR), including policies QHSN40, QHSN41and QHSN42</w:t>
            </w:r>
          </w:p>
          <w:p w14:paraId="2D58E6AC" w14:textId="77777777" w:rsidR="00B23D81" w:rsidRPr="005C7397" w:rsidRDefault="00B23D81" w:rsidP="00C61CA9">
            <w:pPr>
              <w:rPr>
                <w:rFonts w:ascii="Arial" w:hAnsi="Arial" w:cs="Arial"/>
              </w:rPr>
            </w:pPr>
            <w:r w:rsidRPr="005C7397">
              <w:rPr>
                <w:rFonts w:ascii="Arial" w:hAnsi="Arial" w:cs="Arial"/>
              </w:rPr>
              <w:t>And including 15.10.1 and 15.10.2</w:t>
            </w:r>
          </w:p>
        </w:tc>
      </w:tr>
      <w:tr w:rsidR="00B23D81" w14:paraId="6EA38A1C" w14:textId="77777777" w:rsidTr="00C61CA9">
        <w:tc>
          <w:tcPr>
            <w:tcW w:w="2254" w:type="dxa"/>
          </w:tcPr>
          <w:p w14:paraId="06AEF39B" w14:textId="77777777" w:rsidR="00B23D81" w:rsidRPr="005C7397" w:rsidRDefault="00B23D81" w:rsidP="00C61CA9">
            <w:pPr>
              <w:jc w:val="both"/>
              <w:rPr>
                <w:rFonts w:ascii="Arial" w:hAnsi="Arial" w:cs="Arial"/>
              </w:rPr>
            </w:pPr>
            <w:r w:rsidRPr="005C7397">
              <w:rPr>
                <w:rFonts w:ascii="Arial" w:hAnsi="Arial" w:cs="Arial"/>
              </w:rPr>
              <w:t>Glossary and Acronyms</w:t>
            </w:r>
          </w:p>
        </w:tc>
        <w:tc>
          <w:tcPr>
            <w:tcW w:w="2136" w:type="dxa"/>
          </w:tcPr>
          <w:p w14:paraId="00C42F05" w14:textId="77777777" w:rsidR="00B23D81" w:rsidRPr="005C7397" w:rsidRDefault="00B23D81" w:rsidP="00C61CA9">
            <w:pPr>
              <w:rPr>
                <w:rFonts w:ascii="Arial" w:hAnsi="Arial" w:cs="Arial"/>
              </w:rPr>
            </w:pPr>
            <w:r w:rsidRPr="005C7397">
              <w:rPr>
                <w:rFonts w:ascii="Arial" w:hAnsi="Arial" w:cs="Arial"/>
              </w:rPr>
              <w:t xml:space="preserve">Delete </w:t>
            </w:r>
            <w:r>
              <w:rPr>
                <w:rFonts w:ascii="Arial" w:hAnsi="Arial" w:cs="Arial"/>
              </w:rPr>
              <w:t xml:space="preserve">text in </w:t>
            </w:r>
            <w:r w:rsidRPr="005C7397">
              <w:rPr>
                <w:rFonts w:ascii="Arial" w:hAnsi="Arial" w:cs="Arial"/>
              </w:rPr>
              <w:t>definition of</w:t>
            </w:r>
          </w:p>
        </w:tc>
        <w:tc>
          <w:tcPr>
            <w:tcW w:w="4110" w:type="dxa"/>
          </w:tcPr>
          <w:p w14:paraId="014C7EA7" w14:textId="77777777" w:rsidR="00B23D81" w:rsidRPr="005C7397" w:rsidRDefault="00B23D81" w:rsidP="00C61CA9">
            <w:pPr>
              <w:rPr>
                <w:rFonts w:ascii="Arial" w:hAnsi="Arial" w:cs="Arial"/>
                <w:b/>
              </w:rPr>
            </w:pPr>
            <w:r w:rsidRPr="005C7397">
              <w:rPr>
                <w:rFonts w:ascii="Arial" w:hAnsi="Arial" w:cs="Arial"/>
                <w:b/>
              </w:rPr>
              <w:t>Build to Rent Residential Accommodation</w:t>
            </w:r>
          </w:p>
        </w:tc>
      </w:tr>
      <w:tr w:rsidR="00B23D81" w14:paraId="0CAC172A" w14:textId="77777777" w:rsidTr="00C61CA9">
        <w:tc>
          <w:tcPr>
            <w:tcW w:w="2254" w:type="dxa"/>
          </w:tcPr>
          <w:p w14:paraId="12F6376A" w14:textId="77777777" w:rsidR="00B23D81" w:rsidRPr="005C7397" w:rsidRDefault="00B23D81" w:rsidP="00C61CA9">
            <w:pPr>
              <w:jc w:val="both"/>
              <w:rPr>
                <w:rFonts w:ascii="Arial" w:hAnsi="Arial" w:cs="Arial"/>
              </w:rPr>
            </w:pPr>
            <w:r w:rsidRPr="005C7397">
              <w:rPr>
                <w:rFonts w:ascii="Arial" w:hAnsi="Arial" w:cs="Arial"/>
              </w:rPr>
              <w:t>Appendix 14: Statement Demonstrating Compliance with Section 28 Guidelines</w:t>
            </w:r>
          </w:p>
        </w:tc>
        <w:tc>
          <w:tcPr>
            <w:tcW w:w="2136" w:type="dxa"/>
          </w:tcPr>
          <w:p w14:paraId="0AB8A392" w14:textId="77777777" w:rsidR="00B23D81" w:rsidRPr="005C7397" w:rsidRDefault="00B23D81" w:rsidP="00C61CA9">
            <w:pPr>
              <w:rPr>
                <w:rFonts w:ascii="Arial" w:hAnsi="Arial" w:cs="Arial"/>
              </w:rPr>
            </w:pPr>
            <w:r w:rsidRPr="005C7397">
              <w:rPr>
                <w:rFonts w:ascii="Arial" w:hAnsi="Arial" w:cs="Arial"/>
              </w:rPr>
              <w:t>Delete rows from</w:t>
            </w:r>
          </w:p>
        </w:tc>
        <w:tc>
          <w:tcPr>
            <w:tcW w:w="4110" w:type="dxa"/>
          </w:tcPr>
          <w:p w14:paraId="6867C525" w14:textId="77777777" w:rsidR="00B23D81" w:rsidRPr="005C7397" w:rsidRDefault="00B23D81" w:rsidP="00C61CA9">
            <w:pPr>
              <w:rPr>
                <w:rFonts w:ascii="Arial" w:hAnsi="Arial" w:cs="Arial"/>
              </w:rPr>
            </w:pPr>
            <w:r w:rsidRPr="005C7397">
              <w:rPr>
                <w:rFonts w:ascii="Arial" w:hAnsi="Arial" w:cs="Arial"/>
              </w:rPr>
              <w:t xml:space="preserve">Table 2 </w:t>
            </w:r>
          </w:p>
          <w:p w14:paraId="7003039D" w14:textId="77777777" w:rsidR="00B23D81" w:rsidRPr="005C7397" w:rsidRDefault="00B23D81" w:rsidP="00C61CA9">
            <w:pPr>
              <w:rPr>
                <w:rFonts w:ascii="Arial" w:hAnsi="Arial" w:cs="Arial"/>
              </w:rPr>
            </w:pPr>
          </w:p>
          <w:p w14:paraId="3EAEA2CF" w14:textId="77777777" w:rsidR="00B23D81" w:rsidRPr="005C7397" w:rsidRDefault="00B23D81" w:rsidP="00C61CA9">
            <w:pPr>
              <w:rPr>
                <w:rFonts w:ascii="Arial" w:hAnsi="Arial" w:cs="Arial"/>
                <w:b/>
              </w:rPr>
            </w:pPr>
            <w:r w:rsidRPr="005C7397">
              <w:rPr>
                <w:rFonts w:ascii="Arial" w:hAnsi="Arial" w:cs="Arial"/>
                <w:b/>
              </w:rPr>
              <w:t>SPPR7: BTR development</w:t>
            </w:r>
          </w:p>
          <w:p w14:paraId="4CA8B3F1" w14:textId="77777777" w:rsidR="00B23D81" w:rsidRPr="005C7397" w:rsidRDefault="00B23D81" w:rsidP="00C61CA9">
            <w:pPr>
              <w:rPr>
                <w:rFonts w:ascii="Arial" w:hAnsi="Arial" w:cs="Arial"/>
                <w:b/>
              </w:rPr>
            </w:pPr>
            <w:r w:rsidRPr="005C7397">
              <w:rPr>
                <w:rFonts w:ascii="Arial" w:hAnsi="Arial" w:cs="Arial"/>
                <w:b/>
              </w:rPr>
              <w:t>SPPR8: Proposals that qualify as specific BTR development</w:t>
            </w:r>
          </w:p>
          <w:p w14:paraId="7F0C0F18" w14:textId="77777777" w:rsidR="00B23D81" w:rsidRPr="005C7397" w:rsidRDefault="00B23D81" w:rsidP="00C61CA9">
            <w:pPr>
              <w:rPr>
                <w:rFonts w:ascii="Arial" w:hAnsi="Arial" w:cs="Arial"/>
              </w:rPr>
            </w:pPr>
          </w:p>
        </w:tc>
      </w:tr>
      <w:tr w:rsidR="00B23D81" w14:paraId="2AA08000" w14:textId="77777777" w:rsidTr="00C61CA9">
        <w:tc>
          <w:tcPr>
            <w:tcW w:w="2254" w:type="dxa"/>
          </w:tcPr>
          <w:p w14:paraId="41015B15" w14:textId="77777777" w:rsidR="00B23D81" w:rsidRPr="005C7397" w:rsidRDefault="00B23D81" w:rsidP="00C61CA9">
            <w:pPr>
              <w:jc w:val="both"/>
              <w:rPr>
                <w:rFonts w:ascii="Arial" w:hAnsi="Arial" w:cs="Arial"/>
              </w:rPr>
            </w:pPr>
            <w:r w:rsidRPr="005C7397">
              <w:rPr>
                <w:rFonts w:ascii="Arial" w:hAnsi="Arial" w:cs="Arial"/>
              </w:rPr>
              <w:t>Appendix 15: Land Use Definitions</w:t>
            </w:r>
          </w:p>
        </w:tc>
        <w:tc>
          <w:tcPr>
            <w:tcW w:w="2136" w:type="dxa"/>
          </w:tcPr>
          <w:p w14:paraId="6C1010A3" w14:textId="77777777" w:rsidR="00B23D81" w:rsidRPr="005C7397" w:rsidRDefault="00B23D81" w:rsidP="00C61CA9">
            <w:pPr>
              <w:rPr>
                <w:rFonts w:ascii="Arial" w:hAnsi="Arial" w:cs="Arial"/>
              </w:rPr>
            </w:pPr>
            <w:r w:rsidRPr="005C7397">
              <w:rPr>
                <w:rFonts w:ascii="Arial" w:hAnsi="Arial" w:cs="Arial"/>
              </w:rPr>
              <w:t xml:space="preserve">Delete </w:t>
            </w:r>
            <w:r>
              <w:rPr>
                <w:rFonts w:ascii="Arial" w:hAnsi="Arial" w:cs="Arial"/>
              </w:rPr>
              <w:t xml:space="preserve">text in </w:t>
            </w:r>
            <w:r w:rsidRPr="005C7397">
              <w:rPr>
                <w:rFonts w:ascii="Arial" w:hAnsi="Arial" w:cs="Arial"/>
              </w:rPr>
              <w:t>definition of Land Use</w:t>
            </w:r>
          </w:p>
        </w:tc>
        <w:tc>
          <w:tcPr>
            <w:tcW w:w="4110" w:type="dxa"/>
          </w:tcPr>
          <w:p w14:paraId="3F5B3F84" w14:textId="77777777" w:rsidR="00B23D81" w:rsidRPr="005C7397" w:rsidRDefault="00B23D81" w:rsidP="00C61CA9">
            <w:pPr>
              <w:rPr>
                <w:rFonts w:ascii="Arial" w:hAnsi="Arial" w:cs="Arial"/>
                <w:b/>
              </w:rPr>
            </w:pPr>
            <w:r w:rsidRPr="005C7397">
              <w:rPr>
                <w:rFonts w:ascii="Arial" w:hAnsi="Arial" w:cs="Arial"/>
              </w:rPr>
              <w:t xml:space="preserve"> </w:t>
            </w:r>
            <w:r w:rsidRPr="005C7397">
              <w:rPr>
                <w:rFonts w:ascii="Arial" w:hAnsi="Arial" w:cs="Arial"/>
                <w:b/>
              </w:rPr>
              <w:t>Build to Rent Residential Accommodation</w:t>
            </w:r>
          </w:p>
        </w:tc>
      </w:tr>
    </w:tbl>
    <w:p w14:paraId="6A5B39B1" w14:textId="77777777" w:rsidR="00B23D81" w:rsidRDefault="00B23D81" w:rsidP="00B23D81">
      <w:pPr>
        <w:rPr>
          <w:rFonts w:ascii="Arial" w:hAnsi="Arial" w:cs="Arial"/>
          <w:b/>
          <w:bCs/>
          <w:sz w:val="24"/>
          <w:szCs w:val="24"/>
        </w:rPr>
      </w:pPr>
    </w:p>
    <w:p w14:paraId="48C13642" w14:textId="77777777" w:rsidR="00B23D81" w:rsidRPr="00207C26" w:rsidRDefault="00B23D81" w:rsidP="00B23D81">
      <w:pPr>
        <w:rPr>
          <w:rFonts w:ascii="Arial" w:hAnsi="Arial" w:cs="Arial"/>
          <w:b/>
          <w:bCs/>
          <w:sz w:val="24"/>
          <w:szCs w:val="24"/>
        </w:rPr>
      </w:pPr>
      <w:r w:rsidRPr="00207C26">
        <w:rPr>
          <w:rFonts w:ascii="Arial" w:hAnsi="Arial" w:cs="Arial"/>
          <w:b/>
          <w:bCs/>
          <w:sz w:val="24"/>
          <w:szCs w:val="24"/>
        </w:rPr>
        <w:t xml:space="preserve">Part B: </w:t>
      </w:r>
      <w:r>
        <w:rPr>
          <w:rFonts w:ascii="Arial" w:hAnsi="Arial" w:cs="Arial"/>
          <w:b/>
          <w:bCs/>
          <w:sz w:val="24"/>
          <w:szCs w:val="24"/>
        </w:rPr>
        <w:t>New Appendix 19 containing transitional arrangements in relation to BTR accommodation.</w:t>
      </w:r>
    </w:p>
    <w:p w14:paraId="374B5E97" w14:textId="77777777" w:rsidR="00B23D81" w:rsidRDefault="00B23D81" w:rsidP="00B23D81">
      <w:pPr>
        <w:pStyle w:val="Default"/>
      </w:pPr>
    </w:p>
    <w:p w14:paraId="61788DD0" w14:textId="77777777" w:rsidR="00B23D81" w:rsidRDefault="00B23D81" w:rsidP="00B23D81">
      <w:pPr>
        <w:rPr>
          <w:rFonts w:ascii="Arial" w:hAnsi="Arial" w:cs="Arial"/>
          <w:bCs/>
          <w:sz w:val="24"/>
          <w:szCs w:val="24"/>
        </w:rPr>
      </w:pPr>
      <w:r>
        <w:rPr>
          <w:rFonts w:ascii="Arial" w:hAnsi="Arial" w:cs="Arial"/>
          <w:sz w:val="24"/>
          <w:szCs w:val="24"/>
        </w:rPr>
        <w:t xml:space="preserve">The 2023 guidelines, under paragraphs 5.10 and 5.11, outline the </w:t>
      </w:r>
      <w:r w:rsidRPr="00A065E7">
        <w:rPr>
          <w:rFonts w:ascii="Arial" w:hAnsi="Arial" w:cs="Arial"/>
          <w:sz w:val="24"/>
          <w:szCs w:val="24"/>
        </w:rPr>
        <w:t>t</w:t>
      </w:r>
      <w:r w:rsidRPr="00A065E7">
        <w:rPr>
          <w:rFonts w:ascii="Arial" w:hAnsi="Arial" w:cs="Arial"/>
          <w:bCs/>
          <w:sz w:val="24"/>
          <w:szCs w:val="24"/>
        </w:rPr>
        <w:t xml:space="preserve">ransitional arrangements </w:t>
      </w:r>
      <w:r>
        <w:rPr>
          <w:rFonts w:ascii="Arial" w:hAnsi="Arial" w:cs="Arial"/>
          <w:bCs/>
          <w:sz w:val="24"/>
          <w:szCs w:val="24"/>
        </w:rPr>
        <w:t xml:space="preserve">that have been put in place to allow BTR proposals in the planning system on </w:t>
      </w:r>
      <w:r w:rsidRPr="00A065E7">
        <w:rPr>
          <w:rFonts w:ascii="Arial" w:hAnsi="Arial" w:cs="Arial"/>
          <w:sz w:val="24"/>
          <w:szCs w:val="24"/>
        </w:rPr>
        <w:t>or before 21st December 2022</w:t>
      </w:r>
      <w:r>
        <w:rPr>
          <w:rFonts w:ascii="Arial" w:hAnsi="Arial" w:cs="Arial"/>
          <w:sz w:val="24"/>
          <w:szCs w:val="24"/>
        </w:rPr>
        <w:t>, to be considered and decided in accordance with the 2020 Guidelines</w:t>
      </w:r>
      <w:r>
        <w:rPr>
          <w:rFonts w:ascii="Arial" w:hAnsi="Arial" w:cs="Arial"/>
          <w:bCs/>
          <w:sz w:val="24"/>
          <w:szCs w:val="24"/>
        </w:rPr>
        <w:t xml:space="preserve">.  </w:t>
      </w:r>
    </w:p>
    <w:p w14:paraId="68E53EED" w14:textId="77777777" w:rsidR="00B23D81" w:rsidRDefault="00B23D81" w:rsidP="00B23D81">
      <w:pPr>
        <w:rPr>
          <w:rFonts w:ascii="Arial" w:hAnsi="Arial" w:cs="Arial"/>
          <w:sz w:val="24"/>
          <w:szCs w:val="24"/>
        </w:rPr>
      </w:pPr>
      <w:r>
        <w:rPr>
          <w:rFonts w:ascii="Arial" w:hAnsi="Arial" w:cs="Arial"/>
          <w:sz w:val="24"/>
          <w:szCs w:val="24"/>
        </w:rPr>
        <w:t xml:space="preserve">In view of this, transitional arrangements are therefore required in respect of the current City Development Plan’s Build-To-Rent accommodation policies, objectives and standards.  </w:t>
      </w:r>
    </w:p>
    <w:p w14:paraId="3DABE62F" w14:textId="77777777" w:rsidR="00B23D81" w:rsidRDefault="00B23D81" w:rsidP="00B23D81">
      <w:pPr>
        <w:rPr>
          <w:rFonts w:ascii="Arial" w:hAnsi="Arial" w:cs="Arial"/>
          <w:sz w:val="24"/>
          <w:szCs w:val="24"/>
        </w:rPr>
      </w:pPr>
      <w:r>
        <w:rPr>
          <w:rFonts w:ascii="Arial" w:hAnsi="Arial" w:cs="Arial"/>
          <w:sz w:val="24"/>
          <w:szCs w:val="24"/>
        </w:rPr>
        <w:t xml:space="preserve">To this end it is proposed to group all BTR accommodation policies, objectives and standards in a new Appendix 19 to the City Development Plan.  </w:t>
      </w:r>
      <w:r w:rsidRPr="00207C26">
        <w:rPr>
          <w:rFonts w:ascii="Arial" w:hAnsi="Arial" w:cs="Arial"/>
          <w:bCs/>
          <w:sz w:val="24"/>
          <w:szCs w:val="24"/>
        </w:rPr>
        <w:t>A</w:t>
      </w:r>
      <w:r w:rsidRPr="00207C26">
        <w:rPr>
          <w:rFonts w:ascii="Arial" w:hAnsi="Arial" w:cs="Arial"/>
          <w:sz w:val="24"/>
          <w:szCs w:val="24"/>
        </w:rPr>
        <w:t xml:space="preserve">ll relevant </w:t>
      </w:r>
      <w:r>
        <w:rPr>
          <w:rFonts w:ascii="Arial" w:hAnsi="Arial" w:cs="Arial"/>
          <w:sz w:val="24"/>
          <w:szCs w:val="24"/>
        </w:rPr>
        <w:t xml:space="preserve">planning proposals therefore, will </w:t>
      </w:r>
      <w:r w:rsidRPr="00207C26">
        <w:rPr>
          <w:rFonts w:ascii="Arial" w:hAnsi="Arial" w:cs="Arial"/>
          <w:sz w:val="24"/>
          <w:szCs w:val="24"/>
        </w:rPr>
        <w:t xml:space="preserve">be considered and decided in </w:t>
      </w:r>
      <w:r>
        <w:rPr>
          <w:rFonts w:ascii="Arial" w:hAnsi="Arial" w:cs="Arial"/>
          <w:sz w:val="24"/>
          <w:szCs w:val="24"/>
        </w:rPr>
        <w:t xml:space="preserve">accordance with, </w:t>
      </w:r>
    </w:p>
    <w:p w14:paraId="06AA7BFC" w14:textId="77777777" w:rsidR="00B23D81" w:rsidRDefault="00B23D81" w:rsidP="00B23D81">
      <w:pPr>
        <w:pStyle w:val="ListParagraph"/>
        <w:numPr>
          <w:ilvl w:val="0"/>
          <w:numId w:val="14"/>
        </w:numPr>
        <w:spacing w:after="200" w:line="276" w:lineRule="auto"/>
        <w:rPr>
          <w:rFonts w:ascii="Arial" w:hAnsi="Arial" w:cs="Arial"/>
        </w:rPr>
      </w:pPr>
      <w:r w:rsidRPr="003E45A9">
        <w:rPr>
          <w:rFonts w:ascii="Arial" w:hAnsi="Arial" w:cs="Arial"/>
        </w:rPr>
        <w:t xml:space="preserve">the 2020 Guidelines, </w:t>
      </w:r>
    </w:p>
    <w:p w14:paraId="55631D08" w14:textId="77777777" w:rsidR="00B23D81" w:rsidRPr="003E45A9" w:rsidRDefault="00B23D81" w:rsidP="00B23D81">
      <w:pPr>
        <w:pStyle w:val="ListParagraph"/>
        <w:numPr>
          <w:ilvl w:val="0"/>
          <w:numId w:val="14"/>
        </w:numPr>
        <w:spacing w:after="200" w:line="276" w:lineRule="auto"/>
        <w:rPr>
          <w:rFonts w:ascii="Arial" w:hAnsi="Arial" w:cs="Arial"/>
        </w:rPr>
      </w:pPr>
      <w:proofErr w:type="gramStart"/>
      <w:r w:rsidRPr="003E45A9">
        <w:rPr>
          <w:rFonts w:ascii="Arial" w:hAnsi="Arial" w:cs="Arial"/>
        </w:rPr>
        <w:t>the</w:t>
      </w:r>
      <w:proofErr w:type="gramEnd"/>
      <w:r w:rsidRPr="003E45A9">
        <w:rPr>
          <w:rFonts w:ascii="Arial" w:hAnsi="Arial" w:cs="Arial"/>
        </w:rPr>
        <w:t xml:space="preserve"> policies, objectives and standards currently pertaining to Build-To-Rent accommodation as proposed to be set out in a new Appendix 19, Volume 2: Appendices, of the Dublin City Development Plan.  </w:t>
      </w:r>
    </w:p>
    <w:p w14:paraId="2FC0F299" w14:textId="1BD011A9" w:rsidR="009A019A" w:rsidRPr="00DF63A5" w:rsidRDefault="009A019A" w:rsidP="009A019A">
      <w:pPr>
        <w:rPr>
          <w:rFonts w:ascii="Arial" w:hAnsi="Arial" w:cs="Arial"/>
          <w:bCs/>
          <w:sz w:val="24"/>
          <w:szCs w:val="24"/>
        </w:rPr>
      </w:pPr>
      <w:r w:rsidRPr="00DF63A5">
        <w:rPr>
          <w:rFonts w:ascii="Arial" w:hAnsi="Arial" w:cs="Arial"/>
          <w:bCs/>
          <w:sz w:val="24"/>
          <w:szCs w:val="24"/>
        </w:rPr>
        <w:lastRenderedPageBreak/>
        <w:t xml:space="preserve">The detail of Parts A and B of the </w:t>
      </w:r>
      <w:r w:rsidR="00527524" w:rsidRPr="00DF63A5">
        <w:rPr>
          <w:rFonts w:ascii="Arial" w:hAnsi="Arial" w:cs="Arial"/>
          <w:bCs/>
          <w:sz w:val="24"/>
          <w:szCs w:val="24"/>
        </w:rPr>
        <w:t xml:space="preserve">proposed </w:t>
      </w:r>
      <w:r w:rsidRPr="00DF63A5">
        <w:rPr>
          <w:rFonts w:ascii="Arial" w:hAnsi="Arial" w:cs="Arial"/>
          <w:bCs/>
          <w:sz w:val="24"/>
          <w:szCs w:val="24"/>
        </w:rPr>
        <w:t>Variation are set out in Appendix 1</w:t>
      </w:r>
      <w:r w:rsidR="005D4329">
        <w:rPr>
          <w:rFonts w:ascii="Arial" w:hAnsi="Arial" w:cs="Arial"/>
          <w:bCs/>
          <w:sz w:val="24"/>
          <w:szCs w:val="24"/>
        </w:rPr>
        <w:t xml:space="preserve"> of this Report</w:t>
      </w:r>
      <w:r w:rsidRPr="00DF63A5">
        <w:rPr>
          <w:rFonts w:ascii="Arial" w:hAnsi="Arial" w:cs="Arial"/>
          <w:bCs/>
          <w:sz w:val="24"/>
          <w:szCs w:val="24"/>
        </w:rPr>
        <w:t>.</w:t>
      </w:r>
    </w:p>
    <w:p w14:paraId="426B76FF" w14:textId="5204B8DF" w:rsidR="009A019A" w:rsidRDefault="009A019A" w:rsidP="00B23D81">
      <w:pPr>
        <w:jc w:val="both"/>
      </w:pPr>
    </w:p>
    <w:p w14:paraId="5F3832B4" w14:textId="77777777" w:rsidR="00FE5FD3" w:rsidRPr="001D36F6" w:rsidRDefault="00956A83" w:rsidP="00FE5FD3">
      <w:pPr>
        <w:autoSpaceDE w:val="0"/>
        <w:autoSpaceDN w:val="0"/>
        <w:adjustRightInd w:val="0"/>
        <w:jc w:val="both"/>
        <w:rPr>
          <w:rFonts w:ascii="Arial" w:hAnsi="Arial" w:cs="Arial"/>
          <w:color w:val="000000"/>
          <w:sz w:val="24"/>
          <w:szCs w:val="24"/>
          <w:lang w:eastAsia="en-IE"/>
        </w:rPr>
      </w:pPr>
      <w:r>
        <w:rPr>
          <w:rFonts w:ascii="Arial" w:hAnsi="Arial" w:cs="Arial"/>
          <w:b/>
          <w:bCs/>
          <w:color w:val="000000"/>
          <w:sz w:val="24"/>
          <w:szCs w:val="24"/>
          <w:lang w:eastAsia="en-IE"/>
        </w:rPr>
        <w:t>5</w:t>
      </w:r>
      <w:r w:rsidR="00FE5FD3" w:rsidRPr="001D36F6">
        <w:rPr>
          <w:rFonts w:ascii="Arial" w:hAnsi="Arial" w:cs="Arial"/>
          <w:b/>
          <w:bCs/>
          <w:color w:val="000000"/>
          <w:sz w:val="24"/>
          <w:szCs w:val="24"/>
          <w:lang w:eastAsia="en-IE"/>
        </w:rPr>
        <w:t>.0</w:t>
      </w:r>
      <w:r w:rsidR="00FE5FD3" w:rsidRPr="001D36F6">
        <w:rPr>
          <w:rFonts w:ascii="Arial" w:hAnsi="Arial" w:cs="Arial"/>
          <w:b/>
          <w:bCs/>
          <w:color w:val="000000"/>
          <w:sz w:val="24"/>
          <w:szCs w:val="24"/>
          <w:lang w:eastAsia="en-IE"/>
        </w:rPr>
        <w:tab/>
        <w:t xml:space="preserve">Appropriate Assessment </w:t>
      </w:r>
    </w:p>
    <w:p w14:paraId="09FE1164" w14:textId="77777777" w:rsidR="00FE5FD3" w:rsidRDefault="00FE5FD3" w:rsidP="00FE5FD3">
      <w:pPr>
        <w:spacing w:after="120" w:line="276" w:lineRule="auto"/>
        <w:rPr>
          <w:rFonts w:ascii="Arial" w:hAnsi="Arial" w:cs="Arial"/>
          <w:sz w:val="24"/>
          <w:szCs w:val="24"/>
        </w:rPr>
      </w:pPr>
      <w:r w:rsidRPr="001D36F6">
        <w:rPr>
          <w:rFonts w:ascii="Arial" w:hAnsi="Arial" w:cs="Arial"/>
          <w:sz w:val="24"/>
          <w:szCs w:val="24"/>
        </w:rPr>
        <w:t xml:space="preserve">An assessment under Article 6(3) of the EU Habitats Directive has also been undertaken in conjunction with this SEA Screening report and should be read in tandem with this report and the </w:t>
      </w:r>
      <w:r w:rsidR="00FD3C0B">
        <w:rPr>
          <w:rFonts w:ascii="Arial" w:hAnsi="Arial" w:cs="Arial"/>
          <w:sz w:val="24"/>
          <w:szCs w:val="24"/>
        </w:rPr>
        <w:t>proposed</w:t>
      </w:r>
      <w:r w:rsidR="00512796">
        <w:rPr>
          <w:rFonts w:ascii="Arial" w:hAnsi="Arial" w:cs="Arial"/>
          <w:sz w:val="24"/>
          <w:szCs w:val="24"/>
        </w:rPr>
        <w:t xml:space="preserve"> variation.  </w:t>
      </w:r>
      <w:r w:rsidRPr="001D36F6">
        <w:rPr>
          <w:rFonts w:ascii="Arial" w:hAnsi="Arial" w:cs="Arial"/>
          <w:sz w:val="24"/>
          <w:szCs w:val="24"/>
        </w:rPr>
        <w:t>A finding of no likely significant effects on the conservation management objectives of European Sites has been concluded.</w:t>
      </w:r>
    </w:p>
    <w:p w14:paraId="72EDCF50" w14:textId="77777777" w:rsidR="00FD3C0B" w:rsidRPr="001D36F6" w:rsidRDefault="00FD3C0B" w:rsidP="00FE5FD3">
      <w:pPr>
        <w:spacing w:after="120" w:line="276" w:lineRule="auto"/>
        <w:rPr>
          <w:rFonts w:ascii="Arial" w:hAnsi="Arial" w:cs="Arial"/>
          <w:sz w:val="24"/>
          <w:szCs w:val="24"/>
        </w:rPr>
      </w:pPr>
    </w:p>
    <w:p w14:paraId="283733CA" w14:textId="77777777" w:rsidR="00FE5FD3" w:rsidRPr="001D36F6" w:rsidRDefault="00956A83" w:rsidP="00FE5FD3">
      <w:pPr>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6</w:t>
      </w:r>
      <w:r w:rsidR="00FE5FD3" w:rsidRPr="001D36F6">
        <w:rPr>
          <w:rFonts w:ascii="Arial" w:eastAsia="Times New Roman" w:hAnsi="Arial" w:cs="Arial"/>
          <w:b/>
          <w:bCs/>
          <w:sz w:val="24"/>
          <w:szCs w:val="24"/>
        </w:rPr>
        <w:t>.0</w:t>
      </w:r>
      <w:r w:rsidR="00FE5FD3" w:rsidRPr="001D36F6">
        <w:rPr>
          <w:rFonts w:ascii="Arial" w:eastAsia="Times New Roman" w:hAnsi="Arial" w:cs="Arial"/>
          <w:b/>
          <w:bCs/>
          <w:sz w:val="24"/>
          <w:szCs w:val="24"/>
        </w:rPr>
        <w:tab/>
        <w:t>Criteria for d</w:t>
      </w:r>
      <w:r w:rsidR="008B2B5A">
        <w:rPr>
          <w:rFonts w:ascii="Arial" w:eastAsia="Times New Roman" w:hAnsi="Arial" w:cs="Arial"/>
          <w:b/>
          <w:bCs/>
          <w:sz w:val="24"/>
          <w:szCs w:val="24"/>
        </w:rPr>
        <w:t>etermining whether the proposed</w:t>
      </w:r>
      <w:r w:rsidR="00512796">
        <w:rPr>
          <w:rFonts w:ascii="Arial" w:eastAsia="Times New Roman" w:hAnsi="Arial" w:cs="Arial"/>
          <w:b/>
          <w:bCs/>
          <w:sz w:val="24"/>
          <w:szCs w:val="24"/>
        </w:rPr>
        <w:t xml:space="preserve"> Variation No. 5 </w:t>
      </w:r>
      <w:r w:rsidR="00FE5FD3" w:rsidRPr="001D36F6">
        <w:rPr>
          <w:rFonts w:ascii="Arial" w:eastAsia="Times New Roman" w:hAnsi="Arial" w:cs="Arial"/>
          <w:b/>
          <w:bCs/>
          <w:sz w:val="24"/>
          <w:szCs w:val="24"/>
        </w:rPr>
        <w:t xml:space="preserve">is likely to have significant effects on the environment.  </w:t>
      </w:r>
    </w:p>
    <w:p w14:paraId="68CA8C72" w14:textId="77777777" w:rsidR="00FE5FD3" w:rsidRPr="001D36F6" w:rsidRDefault="00FE5FD3" w:rsidP="00FE5FD3">
      <w:pPr>
        <w:spacing w:after="0" w:line="240" w:lineRule="auto"/>
        <w:jc w:val="both"/>
        <w:rPr>
          <w:rFonts w:ascii="Arial" w:eastAsia="Times New Roman" w:hAnsi="Arial" w:cs="Arial"/>
          <w:b/>
          <w:bCs/>
          <w:sz w:val="24"/>
          <w:szCs w:val="24"/>
          <w:highlight w:val="yellow"/>
        </w:rPr>
      </w:pPr>
    </w:p>
    <w:p w14:paraId="3D7AD6DE" w14:textId="77777777" w:rsidR="00FE5FD3" w:rsidRPr="001D36F6" w:rsidRDefault="00FE5FD3" w:rsidP="00FE5FD3">
      <w:pPr>
        <w:tabs>
          <w:tab w:val="left" w:pos="2323"/>
        </w:tabs>
        <w:rPr>
          <w:rFonts w:ascii="Arial" w:hAnsi="Arial" w:cs="Arial"/>
          <w:sz w:val="24"/>
          <w:szCs w:val="24"/>
        </w:rPr>
      </w:pPr>
      <w:r w:rsidRPr="001D36F6">
        <w:rPr>
          <w:rFonts w:ascii="Arial" w:hAnsi="Arial" w:cs="Arial"/>
          <w:sz w:val="24"/>
          <w:szCs w:val="24"/>
        </w:rPr>
        <w:t xml:space="preserve">The table below presents the SEA screening assessment of the </w:t>
      </w:r>
      <w:r w:rsidR="00FD3C0B">
        <w:rPr>
          <w:rFonts w:ascii="Arial" w:hAnsi="Arial" w:cs="Arial"/>
          <w:sz w:val="24"/>
          <w:szCs w:val="24"/>
        </w:rPr>
        <w:t xml:space="preserve">proposed </w:t>
      </w:r>
      <w:r w:rsidR="00512796">
        <w:rPr>
          <w:rFonts w:ascii="Arial" w:hAnsi="Arial" w:cs="Arial"/>
          <w:sz w:val="24"/>
          <w:szCs w:val="24"/>
        </w:rPr>
        <w:t xml:space="preserve">Variation </w:t>
      </w:r>
      <w:r w:rsidRPr="001D36F6">
        <w:rPr>
          <w:rFonts w:ascii="Arial" w:hAnsi="Arial" w:cs="Arial"/>
          <w:sz w:val="24"/>
          <w:szCs w:val="24"/>
        </w:rPr>
        <w:t>against the criteria provided in</w:t>
      </w:r>
      <w:r w:rsidR="00512796">
        <w:rPr>
          <w:rFonts w:ascii="Arial" w:hAnsi="Arial" w:cs="Arial"/>
          <w:sz w:val="24"/>
          <w:szCs w:val="24"/>
        </w:rPr>
        <w:t xml:space="preserve"> </w:t>
      </w:r>
      <w:r w:rsidR="00512796" w:rsidRPr="000F3D57">
        <w:rPr>
          <w:rFonts w:ascii="Arial" w:hAnsi="Arial" w:cs="Arial"/>
          <w:sz w:val="24"/>
          <w:szCs w:val="24"/>
        </w:rPr>
        <w:t>Schedule 2A of the Planning and Development Regulations 2001</w:t>
      </w:r>
      <w:r w:rsidRPr="001D36F6">
        <w:rPr>
          <w:rFonts w:ascii="Arial" w:hAnsi="Arial" w:cs="Arial"/>
          <w:sz w:val="24"/>
          <w:szCs w:val="24"/>
        </w:rPr>
        <w:t xml:space="preserve">.  This provides the basis for determining whether a plan or programme is likely to have significant effects on the environment. </w:t>
      </w:r>
    </w:p>
    <w:p w14:paraId="2C91DA3E" w14:textId="77777777" w:rsidR="00FE5FD3" w:rsidRPr="001D36F6" w:rsidRDefault="00FE5FD3" w:rsidP="00FE5FD3">
      <w:pPr>
        <w:spacing w:after="0" w:line="240" w:lineRule="auto"/>
        <w:jc w:val="both"/>
        <w:rPr>
          <w:rFonts w:ascii="Arial" w:eastAsia="Times New Roman" w:hAnsi="Arial" w:cs="Arial"/>
          <w:b/>
          <w:bCs/>
          <w:sz w:val="24"/>
          <w:szCs w:val="24"/>
        </w:rPr>
      </w:pPr>
    </w:p>
    <w:p w14:paraId="726E3CF6" w14:textId="77777777" w:rsidR="00FE5FD3" w:rsidRPr="001B4D37" w:rsidRDefault="001B4D37" w:rsidP="00FE5FD3">
      <w:pPr>
        <w:spacing w:after="0" w:line="240" w:lineRule="auto"/>
        <w:jc w:val="both"/>
        <w:rPr>
          <w:rFonts w:ascii="Arial" w:eastAsia="Times New Roman" w:hAnsi="Arial" w:cs="Arial"/>
          <w:b/>
          <w:bCs/>
          <w:sz w:val="16"/>
          <w:szCs w:val="16"/>
        </w:rPr>
      </w:pPr>
      <w:r>
        <w:rPr>
          <w:rFonts w:ascii="Arial" w:eastAsia="Times New Roman" w:hAnsi="Arial" w:cs="Arial"/>
          <w:b/>
          <w:bCs/>
          <w:sz w:val="16"/>
          <w:szCs w:val="16"/>
        </w:rPr>
        <w:t>Table 2</w:t>
      </w:r>
      <w:r w:rsidR="00FE5FD3" w:rsidRPr="001B4D37">
        <w:rPr>
          <w:rFonts w:ascii="Arial" w:eastAsia="Times New Roman" w:hAnsi="Arial" w:cs="Arial"/>
          <w:b/>
          <w:bCs/>
          <w:sz w:val="16"/>
          <w:szCs w:val="16"/>
        </w:rPr>
        <w:t>: R</w:t>
      </w:r>
      <w:r w:rsidR="00FE5FD3" w:rsidRPr="001B4D37">
        <w:rPr>
          <w:rFonts w:ascii="Arial" w:hAnsi="Arial" w:cs="Arial"/>
          <w:b/>
          <w:sz w:val="16"/>
          <w:szCs w:val="16"/>
        </w:rPr>
        <w:t xml:space="preserve">elevant criteria set out in </w:t>
      </w:r>
      <w:r w:rsidR="00512796" w:rsidRPr="001B4D37">
        <w:rPr>
          <w:rFonts w:ascii="Arial" w:hAnsi="Arial" w:cs="Arial"/>
          <w:b/>
          <w:sz w:val="16"/>
          <w:szCs w:val="16"/>
        </w:rPr>
        <w:t>Schedule 2A of the Planning and Development Regulations 2001</w:t>
      </w:r>
    </w:p>
    <w:p w14:paraId="0A258B4D" w14:textId="77777777" w:rsidR="00FE5FD3" w:rsidRPr="001B4D37" w:rsidRDefault="00FE5FD3" w:rsidP="00FE5FD3">
      <w:pPr>
        <w:spacing w:after="0" w:line="240" w:lineRule="auto"/>
        <w:jc w:val="both"/>
        <w:rPr>
          <w:rFonts w:ascii="Arial" w:eastAsia="Times New Roman" w:hAnsi="Arial" w:cs="Arial"/>
          <w:b/>
          <w:bCs/>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13"/>
      </w:tblGrid>
      <w:tr w:rsidR="00FE5FD3" w:rsidRPr="001D36F6" w14:paraId="72693E8C"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5D5DCC08" w14:textId="77777777" w:rsidR="00FE5FD3" w:rsidRPr="001D36F6" w:rsidRDefault="00FE5FD3" w:rsidP="00C61CA9">
            <w:pPr>
              <w:numPr>
                <w:ilvl w:val="0"/>
                <w:numId w:val="1"/>
              </w:numPr>
              <w:spacing w:after="0" w:line="240" w:lineRule="auto"/>
              <w:contextualSpacing/>
              <w:rPr>
                <w:rFonts w:ascii="Arial" w:eastAsia="Times New Roman" w:hAnsi="Arial" w:cs="Arial"/>
                <w:sz w:val="24"/>
                <w:szCs w:val="24"/>
                <w:lang w:eastAsia="en-IE"/>
              </w:rPr>
            </w:pPr>
            <w:r w:rsidRPr="001D36F6">
              <w:rPr>
                <w:rFonts w:ascii="Arial" w:eastAsia="Times New Roman" w:hAnsi="Arial" w:cs="Arial"/>
                <w:b/>
                <w:bCs/>
                <w:color w:val="000000"/>
                <w:sz w:val="24"/>
                <w:szCs w:val="24"/>
                <w:lang w:eastAsia="en-IE"/>
              </w:rPr>
              <w:t>THE CHARACTERISTICS OF THE PLAN HAVING REGARD IN PARTICULAR TO:</w:t>
            </w:r>
          </w:p>
        </w:tc>
      </w:tr>
      <w:tr w:rsidR="00FE5FD3" w:rsidRPr="001D36F6" w14:paraId="17A58E38"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4A91736D" w14:textId="739A66A1" w:rsidR="00FE5FD3" w:rsidRDefault="00FE5FD3" w:rsidP="00C61CA9">
            <w:pPr>
              <w:spacing w:after="0" w:line="240" w:lineRule="auto"/>
              <w:rPr>
                <w:rFonts w:ascii="Arial" w:eastAsia="Times New Roman" w:hAnsi="Arial" w:cs="Arial"/>
                <w:b/>
                <w:bCs/>
                <w:color w:val="000000"/>
                <w:sz w:val="24"/>
                <w:szCs w:val="24"/>
                <w:lang w:eastAsia="en-IE"/>
              </w:rPr>
            </w:pPr>
            <w:r w:rsidRPr="001D36F6">
              <w:rPr>
                <w:rFonts w:ascii="Arial" w:eastAsia="Times New Roman" w:hAnsi="Arial" w:cs="Arial"/>
                <w:b/>
                <w:bCs/>
                <w:color w:val="000000"/>
                <w:sz w:val="24"/>
                <w:szCs w:val="24"/>
                <w:lang w:eastAsia="en-IE"/>
              </w:rPr>
              <w:t>The degree to which the plan sets a framework for projects and other activities, either with regard to the location, nature, size and operating conditions, or by allocating resources;</w:t>
            </w:r>
          </w:p>
          <w:p w14:paraId="056027BA" w14:textId="54E0BA26" w:rsidR="0012340C" w:rsidRDefault="0012340C" w:rsidP="00C61CA9">
            <w:pPr>
              <w:spacing w:after="0" w:line="240" w:lineRule="auto"/>
              <w:rPr>
                <w:rFonts w:ascii="Arial" w:eastAsia="Times New Roman" w:hAnsi="Arial" w:cs="Arial"/>
                <w:b/>
                <w:bCs/>
                <w:color w:val="000000"/>
                <w:sz w:val="24"/>
                <w:szCs w:val="24"/>
                <w:lang w:eastAsia="en-IE"/>
              </w:rPr>
            </w:pPr>
          </w:p>
          <w:p w14:paraId="05F42E4F" w14:textId="02E2A525" w:rsidR="000147EB" w:rsidRPr="00BC0EBE" w:rsidRDefault="000147EB" w:rsidP="000147EB">
            <w:pPr>
              <w:jc w:val="both"/>
              <w:rPr>
                <w:rFonts w:ascii="Arial" w:hAnsi="Arial" w:cs="Arial"/>
                <w:bCs/>
              </w:rPr>
            </w:pPr>
            <w:r w:rsidRPr="00BC0EBE">
              <w:rPr>
                <w:rFonts w:ascii="Arial" w:hAnsi="Arial" w:cs="Arial"/>
                <w:bCs/>
              </w:rPr>
              <w:t xml:space="preserve">It is proposed to vary the Dublin City Development Plan 2022 – 2028, by making </w:t>
            </w:r>
            <w:r w:rsidR="00795FB8">
              <w:rPr>
                <w:rFonts w:ascii="Arial" w:hAnsi="Arial" w:cs="Arial"/>
                <w:bCs/>
              </w:rPr>
              <w:t xml:space="preserve">(Part A) </w:t>
            </w:r>
            <w:r w:rsidRPr="00BC0EBE">
              <w:rPr>
                <w:rFonts w:ascii="Arial" w:hAnsi="Arial" w:cs="Arial"/>
                <w:bCs/>
              </w:rPr>
              <w:t xml:space="preserve">a technical update to the Plan in relation to ‘Build-To-Rent’ (BTR) accommodation on foot of the publication of Sustainable Urban Housing: Design Standards for New Apartments – Guidelines for Planning Authorities, DHLGH, 2023.  </w:t>
            </w:r>
          </w:p>
          <w:p w14:paraId="03A13550" w14:textId="5F60F605" w:rsidR="000147EB" w:rsidRPr="00BC0EBE" w:rsidRDefault="000147EB" w:rsidP="000147EB">
            <w:pPr>
              <w:jc w:val="both"/>
              <w:rPr>
                <w:rFonts w:ascii="Arial" w:hAnsi="Arial" w:cs="Arial"/>
                <w:bCs/>
              </w:rPr>
            </w:pPr>
            <w:r w:rsidRPr="00BC0EBE">
              <w:rPr>
                <w:rFonts w:ascii="Arial" w:hAnsi="Arial" w:cs="Arial"/>
                <w:bCs/>
              </w:rPr>
              <w:t>The Guidelines no longer identify Build to Rent (BTR) accommodation as a specific housing typology for the purposes of planning, and therefore specific guidance / design</w:t>
            </w:r>
            <w:r w:rsidR="00480989">
              <w:rPr>
                <w:rFonts w:ascii="Arial" w:hAnsi="Arial" w:cs="Arial"/>
                <w:bCs/>
              </w:rPr>
              <w:t xml:space="preserve"> standards in respect of BTR is</w:t>
            </w:r>
            <w:r w:rsidRPr="00BC0EBE">
              <w:rPr>
                <w:rFonts w:ascii="Arial" w:hAnsi="Arial" w:cs="Arial"/>
                <w:bCs/>
              </w:rPr>
              <w:t xml:space="preserve"> no longer required.</w:t>
            </w:r>
          </w:p>
          <w:p w14:paraId="367BB927" w14:textId="3607602F" w:rsidR="000147EB" w:rsidRDefault="000147EB" w:rsidP="000147EB">
            <w:pPr>
              <w:spacing w:after="0" w:line="240" w:lineRule="auto"/>
              <w:rPr>
                <w:rFonts w:ascii="Arial" w:hAnsi="Arial" w:cs="Arial"/>
                <w:bCs/>
              </w:rPr>
            </w:pPr>
            <w:r w:rsidRPr="00BC0EBE">
              <w:rPr>
                <w:rFonts w:ascii="Arial" w:hAnsi="Arial" w:cs="Arial"/>
                <w:bCs/>
              </w:rPr>
              <w:t xml:space="preserve">It is proposed to amend the development plan by deleting now out of date references, policies, and standards pertaining to ‘Build-To-Rent’ accommodation and updating references to BTR where required.  </w:t>
            </w:r>
          </w:p>
          <w:p w14:paraId="5401AB36" w14:textId="5F122309" w:rsidR="00BC0EBE" w:rsidRDefault="00BC0EBE" w:rsidP="000147EB">
            <w:pPr>
              <w:spacing w:after="0" w:line="240" w:lineRule="auto"/>
              <w:rPr>
                <w:rFonts w:ascii="Arial" w:hAnsi="Arial" w:cs="Arial"/>
                <w:bCs/>
              </w:rPr>
            </w:pPr>
          </w:p>
          <w:p w14:paraId="55D70A1A" w14:textId="298B9747" w:rsidR="00BC0EBE" w:rsidRDefault="00BC0EBE" w:rsidP="000147EB">
            <w:pPr>
              <w:spacing w:after="0" w:line="240" w:lineRule="auto"/>
              <w:rPr>
                <w:rFonts w:ascii="Arial" w:hAnsi="Arial" w:cs="Arial"/>
                <w:bCs/>
              </w:rPr>
            </w:pPr>
            <w:r>
              <w:rPr>
                <w:rFonts w:ascii="Arial" w:hAnsi="Arial" w:cs="Arial"/>
                <w:bCs/>
              </w:rPr>
              <w:t>The 2023 Guidelines contain transitional arrangements for those BTR proposals in the planning system on or before 21</w:t>
            </w:r>
            <w:r w:rsidRPr="00BC0EBE">
              <w:rPr>
                <w:rFonts w:ascii="Arial" w:hAnsi="Arial" w:cs="Arial"/>
                <w:bCs/>
                <w:vertAlign w:val="superscript"/>
              </w:rPr>
              <w:t>st</w:t>
            </w:r>
            <w:r>
              <w:rPr>
                <w:rFonts w:ascii="Arial" w:hAnsi="Arial" w:cs="Arial"/>
                <w:bCs/>
              </w:rPr>
              <w:t xml:space="preserve"> December 2022.  Proposed new Appendix 19 of the City Development Plan will reflect the</w:t>
            </w:r>
            <w:r w:rsidR="00F43B1A">
              <w:rPr>
                <w:rFonts w:ascii="Arial" w:hAnsi="Arial" w:cs="Arial"/>
                <w:bCs/>
              </w:rPr>
              <w:t>se</w:t>
            </w:r>
            <w:r>
              <w:rPr>
                <w:rFonts w:ascii="Arial" w:hAnsi="Arial" w:cs="Arial"/>
                <w:bCs/>
              </w:rPr>
              <w:t xml:space="preserve"> transitional arrangements as set out under paragraphs 5.10 and 5.11 of the guidelines</w:t>
            </w:r>
            <w:r w:rsidR="00B337C9">
              <w:rPr>
                <w:rFonts w:ascii="Arial" w:hAnsi="Arial" w:cs="Arial"/>
                <w:bCs/>
              </w:rPr>
              <w:t>.  It w</w:t>
            </w:r>
            <w:r w:rsidR="00795FB8">
              <w:rPr>
                <w:rFonts w:ascii="Arial" w:hAnsi="Arial" w:cs="Arial"/>
                <w:bCs/>
              </w:rPr>
              <w:t xml:space="preserve">ill </w:t>
            </w:r>
            <w:r w:rsidR="00480989">
              <w:rPr>
                <w:rFonts w:ascii="Arial" w:hAnsi="Arial" w:cs="Arial"/>
                <w:bCs/>
              </w:rPr>
              <w:t>also contains current D</w:t>
            </w:r>
            <w:r>
              <w:rPr>
                <w:rFonts w:ascii="Arial" w:hAnsi="Arial" w:cs="Arial"/>
                <w:bCs/>
              </w:rPr>
              <w:t xml:space="preserve">evelopment </w:t>
            </w:r>
            <w:r w:rsidR="00480989">
              <w:rPr>
                <w:rFonts w:ascii="Arial" w:hAnsi="Arial" w:cs="Arial"/>
                <w:bCs/>
              </w:rPr>
              <w:t>P</w:t>
            </w:r>
            <w:r>
              <w:rPr>
                <w:rFonts w:ascii="Arial" w:hAnsi="Arial" w:cs="Arial"/>
                <w:bCs/>
              </w:rPr>
              <w:t>lan BTR pol</w:t>
            </w:r>
            <w:r w:rsidR="00B337C9">
              <w:rPr>
                <w:rFonts w:ascii="Arial" w:hAnsi="Arial" w:cs="Arial"/>
                <w:bCs/>
              </w:rPr>
              <w:t xml:space="preserve">icies, objectives and standards, including the requirement that </w:t>
            </w:r>
            <w:r w:rsidR="00B337C9" w:rsidRPr="00B337C9">
              <w:rPr>
                <w:rFonts w:ascii="Arial" w:hAnsi="Arial" w:cs="Arial"/>
              </w:rPr>
              <w:t xml:space="preserve">BTR developments are </w:t>
            </w:r>
            <w:r w:rsidR="00B337C9">
              <w:rPr>
                <w:rFonts w:ascii="Arial" w:hAnsi="Arial" w:cs="Arial"/>
              </w:rPr>
              <w:t xml:space="preserve">to be located beside significant employment locations, public transport interchanges and within identified Strategic Development Regeneration Areas.  </w:t>
            </w:r>
          </w:p>
          <w:p w14:paraId="117841C4" w14:textId="4D7FAA0F" w:rsidR="00BC0EBE" w:rsidRDefault="00BC0EBE" w:rsidP="000147EB">
            <w:pPr>
              <w:spacing w:after="0" w:line="240" w:lineRule="auto"/>
              <w:rPr>
                <w:rFonts w:ascii="Arial" w:hAnsi="Arial" w:cs="Arial"/>
                <w:bCs/>
              </w:rPr>
            </w:pPr>
          </w:p>
          <w:p w14:paraId="724035E7" w14:textId="61D3A77E" w:rsidR="00795FB8" w:rsidRPr="008C08D6" w:rsidRDefault="00BC0EBE" w:rsidP="00795FB8">
            <w:pPr>
              <w:jc w:val="both"/>
              <w:rPr>
                <w:b/>
                <w:lang w:eastAsia="en-IE"/>
              </w:rPr>
            </w:pPr>
            <w:r>
              <w:rPr>
                <w:rFonts w:ascii="Arial" w:hAnsi="Arial" w:cs="Arial"/>
                <w:bCs/>
              </w:rPr>
              <w:lastRenderedPageBreak/>
              <w:t xml:space="preserve">The referred BTR policies, objectives and standards </w:t>
            </w:r>
            <w:r w:rsidR="00795FB8">
              <w:rPr>
                <w:rFonts w:ascii="Arial" w:hAnsi="Arial" w:cs="Arial"/>
                <w:bCs/>
              </w:rPr>
              <w:t xml:space="preserve">where subject to </w:t>
            </w:r>
            <w:r w:rsidR="00795FB8" w:rsidRPr="008C08D6">
              <w:rPr>
                <w:rStyle w:val="fontstyle01"/>
                <w:b w:val="0"/>
              </w:rPr>
              <w:t xml:space="preserve">Strategic Environmental Assessment (SEA) </w:t>
            </w:r>
            <w:r w:rsidR="00795FB8">
              <w:rPr>
                <w:rStyle w:val="fontstyle01"/>
                <w:b w:val="0"/>
              </w:rPr>
              <w:t xml:space="preserve">under the making of the 2022 – 2028 Dublin City Development Plan.  </w:t>
            </w:r>
          </w:p>
          <w:p w14:paraId="7E8B87E0" w14:textId="49E88F64" w:rsidR="00BC0EBE" w:rsidRDefault="00BC0EBE" w:rsidP="000147EB">
            <w:pPr>
              <w:spacing w:after="0" w:line="240" w:lineRule="auto"/>
              <w:rPr>
                <w:rFonts w:ascii="Arial" w:hAnsi="Arial" w:cs="Arial"/>
                <w:bCs/>
              </w:rPr>
            </w:pPr>
          </w:p>
          <w:p w14:paraId="79D1C245" w14:textId="099B8CFE" w:rsidR="00BC0EBE" w:rsidRPr="00B337C9" w:rsidRDefault="00BC0EBE" w:rsidP="000147EB">
            <w:pPr>
              <w:spacing w:after="0" w:line="240" w:lineRule="auto"/>
              <w:rPr>
                <w:rFonts w:ascii="Arial" w:hAnsi="Arial" w:cs="Arial"/>
                <w:bCs/>
              </w:rPr>
            </w:pPr>
            <w:r w:rsidRPr="00B337C9">
              <w:rPr>
                <w:rFonts w:ascii="Arial" w:hAnsi="Arial" w:cs="Arial"/>
                <w:bCs/>
              </w:rPr>
              <w:t xml:space="preserve">In the consideration of planning applications the Planning Authority will take account of the technical updates or transitional arrangements as appropriate.    </w:t>
            </w:r>
          </w:p>
          <w:p w14:paraId="69EFFF02" w14:textId="3716EBBC" w:rsidR="00795FB8" w:rsidRDefault="00795FB8" w:rsidP="000147EB">
            <w:pPr>
              <w:spacing w:after="0" w:line="240" w:lineRule="auto"/>
              <w:rPr>
                <w:rFonts w:ascii="Arial" w:hAnsi="Arial" w:cs="Arial"/>
                <w:bCs/>
              </w:rPr>
            </w:pPr>
          </w:p>
          <w:p w14:paraId="055E5661" w14:textId="1B89559B" w:rsidR="00795FB8" w:rsidRPr="002413B8" w:rsidRDefault="00795FB8" w:rsidP="000147EB">
            <w:pPr>
              <w:spacing w:after="0" w:line="240" w:lineRule="auto"/>
            </w:pPr>
            <w:r w:rsidRPr="002413B8">
              <w:rPr>
                <w:rFonts w:ascii="Arial" w:hAnsi="Arial" w:cs="Arial"/>
                <w:bCs/>
              </w:rPr>
              <w:t xml:space="preserve">The degree to which </w:t>
            </w:r>
            <w:r w:rsidR="002413B8" w:rsidRPr="002413B8">
              <w:rPr>
                <w:rFonts w:ascii="Arial" w:hAnsi="Arial" w:cs="Arial"/>
                <w:bCs/>
              </w:rPr>
              <w:t xml:space="preserve">this proposed variation </w:t>
            </w:r>
            <w:r w:rsidR="002413B8" w:rsidRPr="002413B8">
              <w:rPr>
                <w:rFonts w:ascii="Arial" w:eastAsia="Times New Roman" w:hAnsi="Arial" w:cs="Arial"/>
                <w:bCs/>
                <w:color w:val="000000"/>
                <w:lang w:eastAsia="en-IE"/>
              </w:rPr>
              <w:t>sets a framework for projects and other activities</w:t>
            </w:r>
            <w:r w:rsidR="002413B8" w:rsidRPr="002413B8">
              <w:rPr>
                <w:rFonts w:ascii="Arial" w:hAnsi="Arial" w:cs="Arial"/>
                <w:bCs/>
              </w:rPr>
              <w:t xml:space="preserve"> </w:t>
            </w:r>
            <w:r w:rsidRPr="002413B8">
              <w:rPr>
                <w:rFonts w:ascii="Arial" w:hAnsi="Arial" w:cs="Arial"/>
                <w:bCs/>
              </w:rPr>
              <w:t xml:space="preserve">is </w:t>
            </w:r>
            <w:r w:rsidR="00520149">
              <w:rPr>
                <w:rFonts w:ascii="Arial" w:hAnsi="Arial" w:cs="Arial"/>
                <w:bCs/>
              </w:rPr>
              <w:t xml:space="preserve">therefore </w:t>
            </w:r>
            <w:r w:rsidRPr="002413B8">
              <w:rPr>
                <w:rFonts w:ascii="Arial" w:hAnsi="Arial" w:cs="Arial"/>
                <w:bCs/>
              </w:rPr>
              <w:t xml:space="preserve">limited.  </w:t>
            </w:r>
          </w:p>
          <w:p w14:paraId="4905EC19" w14:textId="77777777" w:rsidR="00FE5FD3" w:rsidRPr="001D36F6" w:rsidRDefault="00FE5FD3" w:rsidP="00C61CA9">
            <w:pPr>
              <w:spacing w:after="0" w:line="240" w:lineRule="auto"/>
              <w:rPr>
                <w:rFonts w:ascii="Arial" w:eastAsia="Times New Roman" w:hAnsi="Arial" w:cs="Arial"/>
                <w:b/>
                <w:bCs/>
                <w:color w:val="000000"/>
                <w:sz w:val="24"/>
                <w:szCs w:val="24"/>
                <w:lang w:eastAsia="en-IE"/>
              </w:rPr>
            </w:pPr>
          </w:p>
          <w:p w14:paraId="02FF4FD0" w14:textId="7967185A" w:rsidR="00FE5FD3" w:rsidRPr="001D36F6" w:rsidRDefault="00492EF8" w:rsidP="00492EF8">
            <w:pPr>
              <w:spacing w:after="0" w:line="240" w:lineRule="auto"/>
              <w:rPr>
                <w:rFonts w:ascii="Arial" w:eastAsia="Times New Roman" w:hAnsi="Arial" w:cs="Arial"/>
                <w:sz w:val="24"/>
                <w:szCs w:val="24"/>
                <w:highlight w:val="yellow"/>
                <w:lang w:eastAsia="en-IE"/>
              </w:rPr>
            </w:pPr>
            <w:r>
              <w:rPr>
                <w:rFonts w:ascii="Arial" w:hAnsi="Arial" w:cs="Arial"/>
                <w:bCs/>
                <w:sz w:val="24"/>
                <w:szCs w:val="24"/>
              </w:rPr>
              <w:t xml:space="preserve"> </w:t>
            </w:r>
          </w:p>
        </w:tc>
      </w:tr>
      <w:tr w:rsidR="00FE5FD3" w:rsidRPr="001D36F6" w14:paraId="2DD45A49"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454DC1E7" w14:textId="77777777" w:rsidR="00FE5FD3" w:rsidRPr="001D36F6" w:rsidRDefault="00FE5FD3" w:rsidP="00C61CA9">
            <w:pPr>
              <w:spacing w:after="0" w:line="240" w:lineRule="auto"/>
              <w:rPr>
                <w:rFonts w:ascii="Arial" w:eastAsia="Times New Roman" w:hAnsi="Arial" w:cs="Arial"/>
                <w:bCs/>
                <w:color w:val="000000"/>
                <w:sz w:val="24"/>
                <w:szCs w:val="24"/>
                <w:highlight w:val="yellow"/>
                <w:lang w:eastAsia="en-IE"/>
              </w:rPr>
            </w:pPr>
            <w:r w:rsidRPr="001D36F6">
              <w:rPr>
                <w:rFonts w:ascii="Arial" w:eastAsia="Times New Roman" w:hAnsi="Arial" w:cs="Arial"/>
                <w:b/>
                <w:bCs/>
                <w:color w:val="000000"/>
                <w:sz w:val="24"/>
                <w:szCs w:val="24"/>
                <w:lang w:eastAsia="en-IE"/>
              </w:rPr>
              <w:lastRenderedPageBreak/>
              <w:t>The degree to which the plan influences other plans, including those in a hierarchy.</w:t>
            </w:r>
          </w:p>
          <w:p w14:paraId="5314974E" w14:textId="77777777" w:rsidR="00FE5FD3" w:rsidRDefault="00FE5FD3" w:rsidP="00C61CA9">
            <w:pPr>
              <w:spacing w:after="0" w:line="240" w:lineRule="auto"/>
              <w:jc w:val="both"/>
              <w:rPr>
                <w:rFonts w:ascii="Arial" w:hAnsi="Arial" w:cs="Arial"/>
                <w:sz w:val="24"/>
                <w:szCs w:val="24"/>
              </w:rPr>
            </w:pPr>
          </w:p>
          <w:p w14:paraId="57FD63C0" w14:textId="5519FEC6" w:rsidR="00593FDA" w:rsidRPr="00520149" w:rsidRDefault="00520149" w:rsidP="00C61CA9">
            <w:pPr>
              <w:spacing w:after="0" w:line="240" w:lineRule="auto"/>
              <w:jc w:val="both"/>
              <w:rPr>
                <w:rFonts w:ascii="Arial" w:hAnsi="Arial" w:cs="Arial"/>
              </w:rPr>
            </w:pPr>
            <w:r>
              <w:rPr>
                <w:rFonts w:ascii="Arial" w:hAnsi="Arial" w:cs="Arial"/>
              </w:rPr>
              <w:t>This is a city scale</w:t>
            </w:r>
            <w:r w:rsidR="00593FDA" w:rsidRPr="00520149">
              <w:rPr>
                <w:rFonts w:ascii="Arial" w:hAnsi="Arial" w:cs="Arial"/>
              </w:rPr>
              <w:t xml:space="preserve"> amendment to the City Development Plan but it pertains to deleting </w:t>
            </w:r>
            <w:r>
              <w:rPr>
                <w:rFonts w:ascii="Arial" w:hAnsi="Arial" w:cs="Arial"/>
              </w:rPr>
              <w:t xml:space="preserve">out of date </w:t>
            </w:r>
            <w:r w:rsidR="00593FDA" w:rsidRPr="00520149">
              <w:rPr>
                <w:rFonts w:ascii="Arial" w:hAnsi="Arial" w:cs="Arial"/>
              </w:rPr>
              <w:t xml:space="preserve">references, policies and standards pertaining to BTR contained in the Plan.  </w:t>
            </w:r>
          </w:p>
          <w:p w14:paraId="7C6A384C" w14:textId="11FEACFB" w:rsidR="00817EC0" w:rsidRPr="00520149" w:rsidRDefault="00817EC0" w:rsidP="00C61CA9">
            <w:pPr>
              <w:spacing w:after="0" w:line="240" w:lineRule="auto"/>
              <w:jc w:val="both"/>
              <w:rPr>
                <w:rFonts w:ascii="Arial" w:hAnsi="Arial" w:cs="Arial"/>
              </w:rPr>
            </w:pPr>
          </w:p>
          <w:p w14:paraId="4FAE4B8D" w14:textId="77777777" w:rsidR="003B08A5" w:rsidRDefault="00817EC0" w:rsidP="00C61CA9">
            <w:pPr>
              <w:spacing w:after="0" w:line="240" w:lineRule="auto"/>
              <w:jc w:val="both"/>
              <w:rPr>
                <w:rFonts w:ascii="Arial" w:hAnsi="Arial" w:cs="Arial"/>
                <w:bCs/>
              </w:rPr>
            </w:pPr>
            <w:r w:rsidRPr="00520149">
              <w:rPr>
                <w:rFonts w:ascii="Arial" w:hAnsi="Arial" w:cs="Arial"/>
              </w:rPr>
              <w:t xml:space="preserve">New Appendix 19  </w:t>
            </w:r>
            <w:r w:rsidR="001E3D13" w:rsidRPr="00520149">
              <w:rPr>
                <w:rFonts w:ascii="Arial" w:hAnsi="Arial" w:cs="Arial"/>
              </w:rPr>
              <w:t xml:space="preserve">has a narrow scope of application as it </w:t>
            </w:r>
            <w:r w:rsidRPr="00520149">
              <w:rPr>
                <w:rFonts w:ascii="Arial" w:hAnsi="Arial" w:cs="Arial"/>
              </w:rPr>
              <w:t xml:space="preserve">pertains to Build to Rent (BTR) development </w:t>
            </w:r>
            <w:r w:rsidRPr="00520149">
              <w:rPr>
                <w:rFonts w:ascii="Arial" w:hAnsi="Arial" w:cs="Arial"/>
                <w:bCs/>
              </w:rPr>
              <w:t>proposals which, on or before 21</w:t>
            </w:r>
            <w:r w:rsidRPr="00520149">
              <w:rPr>
                <w:rFonts w:ascii="Arial" w:hAnsi="Arial" w:cs="Arial"/>
                <w:bCs/>
                <w:vertAlign w:val="superscript"/>
              </w:rPr>
              <w:t>st</w:t>
            </w:r>
            <w:r w:rsidRPr="00520149">
              <w:rPr>
                <w:rFonts w:ascii="Arial" w:hAnsi="Arial" w:cs="Arial"/>
                <w:bCs/>
              </w:rPr>
              <w:t xml:space="preserve"> December 2022, were at formal application / appeal stage or at formal pre-application stage (as per paragraphs 5.10 and 5.11 of the 2023 apartment guidelines)</w:t>
            </w:r>
            <w:r w:rsidR="001E3D13" w:rsidRPr="00520149">
              <w:rPr>
                <w:rFonts w:ascii="Arial" w:hAnsi="Arial" w:cs="Arial"/>
                <w:bCs/>
              </w:rPr>
              <w:t xml:space="preserve">.  </w:t>
            </w:r>
          </w:p>
          <w:p w14:paraId="3656CD2A" w14:textId="77777777" w:rsidR="003B08A5" w:rsidRDefault="003B08A5" w:rsidP="00C61CA9">
            <w:pPr>
              <w:spacing w:after="0" w:line="240" w:lineRule="auto"/>
              <w:jc w:val="both"/>
              <w:rPr>
                <w:rFonts w:ascii="Arial" w:hAnsi="Arial" w:cs="Arial"/>
                <w:bCs/>
              </w:rPr>
            </w:pPr>
          </w:p>
          <w:p w14:paraId="723EC5EA" w14:textId="6C954A78" w:rsidR="00817EC0" w:rsidRPr="00520149" w:rsidRDefault="001E3D13" w:rsidP="00C61CA9">
            <w:pPr>
              <w:spacing w:after="0" w:line="240" w:lineRule="auto"/>
              <w:jc w:val="both"/>
              <w:rPr>
                <w:rFonts w:ascii="Arial" w:hAnsi="Arial" w:cs="Arial"/>
              </w:rPr>
            </w:pPr>
            <w:r w:rsidRPr="00520149">
              <w:rPr>
                <w:rFonts w:ascii="Arial" w:hAnsi="Arial" w:cs="Arial"/>
                <w:bCs/>
              </w:rPr>
              <w:t>T</w:t>
            </w:r>
            <w:r w:rsidR="00817EC0" w:rsidRPr="00520149">
              <w:rPr>
                <w:rFonts w:ascii="Arial" w:hAnsi="Arial" w:cs="Arial"/>
              </w:rPr>
              <w:t>he degree to which other plans are influenced is therefore limited.</w:t>
            </w:r>
          </w:p>
          <w:p w14:paraId="5281D6C4" w14:textId="5A18EFEC" w:rsidR="002413B8" w:rsidRPr="00520149" w:rsidRDefault="002413B8" w:rsidP="00C61CA9">
            <w:pPr>
              <w:spacing w:after="0" w:line="240" w:lineRule="auto"/>
              <w:jc w:val="both"/>
              <w:rPr>
                <w:rFonts w:ascii="Arial" w:hAnsi="Arial" w:cs="Arial"/>
              </w:rPr>
            </w:pPr>
          </w:p>
          <w:p w14:paraId="2EE8A37A" w14:textId="77777777" w:rsidR="00FE5FD3" w:rsidRPr="001D36F6" w:rsidRDefault="00FE5FD3" w:rsidP="00593FDA">
            <w:pPr>
              <w:spacing w:after="0" w:line="240" w:lineRule="auto"/>
              <w:rPr>
                <w:rFonts w:ascii="Arial" w:eastAsia="Times New Roman" w:hAnsi="Arial" w:cs="Arial"/>
                <w:sz w:val="24"/>
                <w:szCs w:val="24"/>
                <w:highlight w:val="yellow"/>
                <w:lang w:eastAsia="en-IE"/>
              </w:rPr>
            </w:pPr>
          </w:p>
        </w:tc>
      </w:tr>
      <w:tr w:rsidR="00FE5FD3" w:rsidRPr="001D36F6" w14:paraId="3DCD2FF0"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469869A0" w14:textId="77777777" w:rsidR="00FE5FD3" w:rsidRPr="001D36F6" w:rsidRDefault="00FE5FD3" w:rsidP="00C61CA9">
            <w:pPr>
              <w:spacing w:after="0" w:line="240" w:lineRule="auto"/>
              <w:rPr>
                <w:rFonts w:ascii="Arial" w:eastAsia="Times New Roman" w:hAnsi="Arial" w:cs="Arial"/>
                <w:b/>
                <w:bCs/>
                <w:color w:val="000000"/>
                <w:sz w:val="24"/>
                <w:szCs w:val="24"/>
                <w:lang w:eastAsia="en-IE"/>
              </w:rPr>
            </w:pPr>
            <w:r w:rsidRPr="001D36F6">
              <w:rPr>
                <w:rFonts w:ascii="Arial" w:eastAsia="Times New Roman" w:hAnsi="Arial" w:cs="Arial"/>
                <w:b/>
                <w:bCs/>
                <w:color w:val="000000"/>
                <w:sz w:val="24"/>
                <w:szCs w:val="24"/>
                <w:lang w:eastAsia="en-IE"/>
              </w:rPr>
              <w:t>The relevance of the plan for the integration of environmental considerations, in particular with a view to promoting sustainable development.</w:t>
            </w:r>
          </w:p>
          <w:p w14:paraId="6019076C" w14:textId="4C416C7F" w:rsidR="00FE5FD3" w:rsidRDefault="00FE5FD3" w:rsidP="00593FDA">
            <w:pPr>
              <w:spacing w:after="0" w:line="240" w:lineRule="auto"/>
              <w:rPr>
                <w:rFonts w:ascii="Arial" w:eastAsia="Times New Roman" w:hAnsi="Arial" w:cs="Arial"/>
                <w:sz w:val="24"/>
                <w:szCs w:val="24"/>
                <w:highlight w:val="yellow"/>
                <w:lang w:eastAsia="en-IE"/>
              </w:rPr>
            </w:pPr>
          </w:p>
          <w:p w14:paraId="22258AFA" w14:textId="77777777" w:rsidR="00076913" w:rsidRPr="00076913" w:rsidRDefault="00076913" w:rsidP="00076913">
            <w:pPr>
              <w:jc w:val="both"/>
              <w:rPr>
                <w:rFonts w:ascii="Arial" w:hAnsi="Arial" w:cs="Arial"/>
              </w:rPr>
            </w:pPr>
            <w:r w:rsidRPr="00076913">
              <w:rPr>
                <w:rFonts w:ascii="Arial" w:hAnsi="Arial" w:cs="Arial"/>
                <w:color w:val="191919"/>
                <w:spacing w:val="-3"/>
                <w:shd w:val="clear" w:color="auto" w:fill="FFFFFF"/>
              </w:rPr>
              <w:t xml:space="preserve">Build-To-Rent (BTR) refers to </w:t>
            </w:r>
            <w:r w:rsidRPr="00076913">
              <w:rPr>
                <w:rFonts w:ascii="Arial" w:hAnsi="Arial" w:cs="Arial"/>
              </w:rPr>
              <w:t xml:space="preserve">purpose-built residential accommodation built specifically for long-term rental which is managed and serviced in an institutional manner by an institutional landlord. </w:t>
            </w:r>
          </w:p>
          <w:p w14:paraId="155166E6" w14:textId="77777777" w:rsidR="00076913" w:rsidRPr="00076913" w:rsidRDefault="00076913" w:rsidP="00076913">
            <w:pPr>
              <w:jc w:val="both"/>
              <w:rPr>
                <w:rFonts w:ascii="Arial" w:hAnsi="Arial" w:cs="Arial"/>
                <w:bCs/>
              </w:rPr>
            </w:pPr>
            <w:r w:rsidRPr="00076913">
              <w:rPr>
                <w:rFonts w:ascii="Arial" w:hAnsi="Arial" w:cs="Arial"/>
                <w:bCs/>
              </w:rPr>
              <w:t xml:space="preserve">Build-To-Rent (BTR) development was established as a separate class of development for planning purposes, arising from </w:t>
            </w:r>
            <w:r w:rsidRPr="00076913">
              <w:rPr>
                <w:rFonts w:ascii="Arial" w:hAnsi="Arial" w:cs="Arial"/>
                <w:bCs/>
                <w:i/>
              </w:rPr>
              <w:t>Sustainable Urban Housing: Design Standards for New Apartments Guidelines for Planning Authorities</w:t>
            </w:r>
            <w:r w:rsidRPr="00076913">
              <w:rPr>
                <w:rFonts w:ascii="Arial" w:hAnsi="Arial" w:cs="Arial"/>
                <w:bCs/>
              </w:rPr>
              <w:t xml:space="preserve">, as published in 2018 and updated in 2020.  Specifically, these apartments do not have to comply with minimum size standards required for other apartments.  </w:t>
            </w:r>
          </w:p>
          <w:p w14:paraId="6EE5435E" w14:textId="77777777" w:rsidR="00076913" w:rsidRPr="00076913" w:rsidRDefault="00076913" w:rsidP="00076913">
            <w:pPr>
              <w:spacing w:after="0" w:line="240" w:lineRule="auto"/>
              <w:rPr>
                <w:rFonts w:ascii="Arial" w:hAnsi="Arial" w:cs="Arial"/>
              </w:rPr>
            </w:pPr>
            <w:r w:rsidRPr="00076913">
              <w:rPr>
                <w:rFonts w:ascii="Arial" w:hAnsi="Arial" w:cs="Arial"/>
              </w:rPr>
              <w:t xml:space="preserve">A government review of BTR has determined that there is now a sufficient quantum of BTR either permitted or subject to consideration within the planning system.  </w:t>
            </w:r>
          </w:p>
          <w:p w14:paraId="542E7BD3" w14:textId="16512E50" w:rsidR="003B08A5" w:rsidRPr="00076913" w:rsidRDefault="003B08A5" w:rsidP="003B08A5">
            <w:pPr>
              <w:spacing w:after="0" w:line="240" w:lineRule="auto"/>
              <w:rPr>
                <w:rFonts w:ascii="Arial" w:hAnsi="Arial" w:cs="Arial"/>
              </w:rPr>
            </w:pPr>
          </w:p>
          <w:p w14:paraId="53369E7D" w14:textId="52F5D33C" w:rsidR="003B08A5" w:rsidRPr="00076913" w:rsidRDefault="003B08A5" w:rsidP="003B08A5">
            <w:pPr>
              <w:shd w:val="clear" w:color="auto" w:fill="FFFFFF"/>
              <w:spacing w:after="0" w:line="240" w:lineRule="auto"/>
              <w:rPr>
                <w:rFonts w:ascii="Arial" w:eastAsia="Times New Roman" w:hAnsi="Arial" w:cs="Arial"/>
                <w:lang w:eastAsia="en-IE"/>
              </w:rPr>
            </w:pPr>
            <w:r w:rsidRPr="00076913">
              <w:rPr>
                <w:rFonts w:ascii="Arial" w:hAnsi="Arial" w:cs="Arial"/>
              </w:rPr>
              <w:t xml:space="preserve">On foot of the publication of the 2023 Apartment Guidelines </w:t>
            </w:r>
            <w:r w:rsidRPr="00076913">
              <w:rPr>
                <w:rFonts w:ascii="Arial" w:hAnsi="Arial" w:cs="Arial"/>
                <w:bCs/>
              </w:rPr>
              <w:t>t</w:t>
            </w:r>
            <w:r w:rsidRPr="00076913">
              <w:rPr>
                <w:rFonts w:ascii="Arial" w:eastAsia="Times New Roman" w:hAnsi="Arial" w:cs="Arial"/>
                <w:lang w:eastAsia="en-IE"/>
              </w:rPr>
              <w:t xml:space="preserve">he standards for BTR development is now the same as those for all other permitted apartment development.  </w:t>
            </w:r>
          </w:p>
          <w:p w14:paraId="2F4D2690" w14:textId="7C8D80ED" w:rsidR="00004497" w:rsidRPr="001D36F6" w:rsidRDefault="00004497" w:rsidP="00C8312A">
            <w:pPr>
              <w:shd w:val="clear" w:color="auto" w:fill="FFFFFF"/>
              <w:spacing w:after="0" w:line="240" w:lineRule="auto"/>
              <w:rPr>
                <w:rFonts w:ascii="Arial" w:eastAsia="Times New Roman" w:hAnsi="Arial" w:cs="Arial"/>
                <w:sz w:val="24"/>
                <w:szCs w:val="24"/>
                <w:highlight w:val="yellow"/>
                <w:lang w:eastAsia="en-IE"/>
              </w:rPr>
            </w:pPr>
          </w:p>
        </w:tc>
      </w:tr>
      <w:tr w:rsidR="00FE5FD3" w:rsidRPr="001D36F6" w14:paraId="7CEEAF5B"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03B4EAED" w14:textId="77777777" w:rsidR="00FE5FD3" w:rsidRPr="001D36F6" w:rsidRDefault="00FE5FD3" w:rsidP="00C61CA9">
            <w:pPr>
              <w:spacing w:after="0" w:line="240" w:lineRule="auto"/>
              <w:rPr>
                <w:rFonts w:ascii="Arial" w:eastAsia="Times New Roman" w:hAnsi="Arial" w:cs="Arial"/>
                <w:b/>
                <w:bCs/>
                <w:color w:val="000000"/>
                <w:sz w:val="24"/>
                <w:szCs w:val="24"/>
                <w:lang w:eastAsia="en-IE"/>
              </w:rPr>
            </w:pPr>
            <w:r w:rsidRPr="001D36F6">
              <w:rPr>
                <w:rFonts w:ascii="Arial" w:eastAsia="Times New Roman" w:hAnsi="Arial" w:cs="Arial"/>
                <w:b/>
                <w:bCs/>
                <w:color w:val="000000"/>
                <w:sz w:val="24"/>
                <w:szCs w:val="24"/>
                <w:lang w:eastAsia="en-IE"/>
              </w:rPr>
              <w:t>Environmental problems relevant to the plan.</w:t>
            </w:r>
          </w:p>
          <w:p w14:paraId="0958E4E1" w14:textId="6DB5B48A" w:rsidR="00E64B9C" w:rsidRPr="005702EF" w:rsidRDefault="00593FDA" w:rsidP="005702EF">
            <w:pPr>
              <w:rPr>
                <w:rFonts w:ascii="Arial" w:hAnsi="Arial" w:cs="Arial"/>
              </w:rPr>
            </w:pPr>
            <w:r w:rsidRPr="005702EF">
              <w:rPr>
                <w:rStyle w:val="fontstyle01"/>
                <w:b w:val="0"/>
              </w:rPr>
              <w:t>The content of the 2022 - 2028 City Development Plan has been informed by Strategic Environmental Assessment (SEA)</w:t>
            </w:r>
            <w:r w:rsidR="005702EF" w:rsidRPr="005702EF">
              <w:rPr>
                <w:rStyle w:val="fontstyle01"/>
                <w:b w:val="0"/>
              </w:rPr>
              <w:t xml:space="preserve">.  It is reasonable to state that there are </w:t>
            </w:r>
            <w:r w:rsidR="005702EF" w:rsidRPr="005702EF">
              <w:rPr>
                <w:rFonts w:ascii="Arial" w:hAnsi="Arial" w:cs="Arial"/>
              </w:rPr>
              <w:t>no</w:t>
            </w:r>
            <w:r w:rsidR="00E64B9C" w:rsidRPr="005702EF">
              <w:rPr>
                <w:rFonts w:ascii="Arial" w:hAnsi="Arial" w:cs="Arial"/>
              </w:rPr>
              <w:t xml:space="preserve"> environmental problems relevant to the proposed variation of the Development Plan.</w:t>
            </w:r>
          </w:p>
          <w:p w14:paraId="300CFA65" w14:textId="77777777" w:rsidR="00FE5FD3" w:rsidRPr="001D36F6" w:rsidRDefault="00FE5FD3" w:rsidP="00593FDA">
            <w:pPr>
              <w:rPr>
                <w:rFonts w:ascii="Arial" w:eastAsia="Times New Roman" w:hAnsi="Arial" w:cs="Arial"/>
                <w:sz w:val="24"/>
                <w:szCs w:val="24"/>
                <w:highlight w:val="yellow"/>
                <w:lang w:eastAsia="en-IE"/>
              </w:rPr>
            </w:pPr>
          </w:p>
        </w:tc>
      </w:tr>
      <w:tr w:rsidR="00FE5FD3" w:rsidRPr="001D36F6" w14:paraId="1D3F5A21"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6BCA3EE0" w14:textId="77777777" w:rsidR="00FE5FD3" w:rsidRPr="001D36F6" w:rsidRDefault="00FE5FD3" w:rsidP="00C61CA9">
            <w:pPr>
              <w:spacing w:after="0" w:line="240" w:lineRule="auto"/>
              <w:rPr>
                <w:rFonts w:ascii="Arial" w:eastAsia="Times New Roman" w:hAnsi="Arial" w:cs="Arial"/>
                <w:sz w:val="24"/>
                <w:szCs w:val="24"/>
                <w:lang w:eastAsia="en-IE"/>
              </w:rPr>
            </w:pPr>
            <w:r w:rsidRPr="001D36F6">
              <w:rPr>
                <w:rFonts w:ascii="Arial" w:eastAsia="Times New Roman" w:hAnsi="Arial" w:cs="Arial"/>
                <w:b/>
                <w:bCs/>
                <w:color w:val="000000"/>
                <w:sz w:val="24"/>
                <w:szCs w:val="24"/>
                <w:lang w:eastAsia="en-IE"/>
              </w:rPr>
              <w:lastRenderedPageBreak/>
              <w:t>The relevance of the plan for the implementation of Community European Union legislation on the environment (e.g. plans linked to waste management or water protection).</w:t>
            </w:r>
            <w:r w:rsidRPr="001D36F6">
              <w:rPr>
                <w:rFonts w:ascii="Arial" w:eastAsia="Times New Roman" w:hAnsi="Arial" w:cs="Arial"/>
                <w:b/>
                <w:bCs/>
                <w:color w:val="000000"/>
                <w:sz w:val="24"/>
                <w:szCs w:val="24"/>
                <w:lang w:eastAsia="en-IE"/>
              </w:rPr>
              <w:br/>
            </w:r>
          </w:p>
          <w:p w14:paraId="48DB0B4A" w14:textId="77777777" w:rsidR="00593FDA" w:rsidRPr="006F2559" w:rsidRDefault="00593FDA" w:rsidP="00593FDA">
            <w:pPr>
              <w:rPr>
                <w:rStyle w:val="fontstyle01"/>
                <w:b w:val="0"/>
              </w:rPr>
            </w:pPr>
            <w:r w:rsidRPr="006F2559">
              <w:rPr>
                <w:rStyle w:val="fontstyle01"/>
                <w:b w:val="0"/>
              </w:rPr>
              <w:t>The 2022 - 2028 City Development Plan is relevant for the implementation of European Union legislation on the environment.</w:t>
            </w:r>
          </w:p>
          <w:p w14:paraId="164CEFBA" w14:textId="0446F946" w:rsidR="00593FDA" w:rsidRPr="006F2559" w:rsidRDefault="008D18A0" w:rsidP="00593FDA">
            <w:pPr>
              <w:spacing w:after="0" w:line="240" w:lineRule="auto"/>
              <w:jc w:val="both"/>
              <w:rPr>
                <w:rFonts w:ascii="Arial" w:hAnsi="Arial" w:cs="Arial"/>
              </w:rPr>
            </w:pPr>
            <w:r w:rsidRPr="006F2559">
              <w:rPr>
                <w:rFonts w:ascii="Arial" w:hAnsi="Arial" w:cs="Arial"/>
              </w:rPr>
              <w:t>The proposed variation has no relevance for the implementation of EU legislation on the environment</w:t>
            </w:r>
            <w:r w:rsidR="00593FDA" w:rsidRPr="006F2559">
              <w:rPr>
                <w:rFonts w:ascii="Arial" w:hAnsi="Arial" w:cs="Arial"/>
              </w:rPr>
              <w:t xml:space="preserve">.  </w:t>
            </w:r>
          </w:p>
          <w:p w14:paraId="20955DE2" w14:textId="77777777" w:rsidR="00FE5FD3" w:rsidRPr="001D36F6" w:rsidRDefault="00FE5FD3" w:rsidP="00593FDA">
            <w:pPr>
              <w:spacing w:after="0" w:line="240" w:lineRule="auto"/>
              <w:rPr>
                <w:rFonts w:ascii="Arial" w:eastAsia="Times New Roman" w:hAnsi="Arial" w:cs="Arial"/>
                <w:sz w:val="24"/>
                <w:szCs w:val="24"/>
                <w:highlight w:val="yellow"/>
                <w:lang w:eastAsia="en-IE"/>
              </w:rPr>
            </w:pPr>
          </w:p>
        </w:tc>
      </w:tr>
    </w:tbl>
    <w:p w14:paraId="22717237" w14:textId="77777777" w:rsidR="00FE5FD3" w:rsidRPr="001D36F6" w:rsidRDefault="00FE5FD3" w:rsidP="00FE5FD3">
      <w:pPr>
        <w:spacing w:after="0" w:line="240" w:lineRule="auto"/>
        <w:rPr>
          <w:rFonts w:ascii="Arial" w:eastAsia="Times New Roman" w:hAnsi="Arial" w:cs="Arial"/>
          <w:sz w:val="24"/>
          <w:szCs w:val="24"/>
          <w:lang w:eastAsia="en-IE"/>
        </w:rPr>
      </w:pPr>
      <w:r w:rsidRPr="001D36F6">
        <w:rPr>
          <w:rFonts w:ascii="Arial" w:eastAsia="Times New Roman" w:hAnsi="Arial" w:cs="Arial"/>
          <w:sz w:val="24"/>
          <w:szCs w:val="24"/>
          <w:highlight w:val="yellow"/>
          <w:lang w:eastAsia="en-IE"/>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13"/>
      </w:tblGrid>
      <w:tr w:rsidR="00FE5FD3" w:rsidRPr="001D36F6" w14:paraId="6B5FBF46"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753773BB" w14:textId="77777777" w:rsidR="00FE5FD3" w:rsidRPr="001D36F6" w:rsidRDefault="00FE5FD3" w:rsidP="00C61CA9">
            <w:pPr>
              <w:numPr>
                <w:ilvl w:val="0"/>
                <w:numId w:val="1"/>
              </w:numPr>
              <w:spacing w:after="0" w:line="240" w:lineRule="auto"/>
              <w:contextualSpacing/>
              <w:rPr>
                <w:rFonts w:ascii="Arial" w:eastAsia="Times New Roman" w:hAnsi="Arial" w:cs="Arial"/>
                <w:sz w:val="24"/>
                <w:szCs w:val="24"/>
                <w:lang w:eastAsia="en-IE"/>
              </w:rPr>
            </w:pPr>
            <w:r w:rsidRPr="001D36F6">
              <w:rPr>
                <w:rFonts w:ascii="Arial" w:eastAsia="Times New Roman" w:hAnsi="Arial" w:cs="Arial"/>
                <w:b/>
                <w:bCs/>
                <w:color w:val="000000"/>
                <w:sz w:val="24"/>
                <w:szCs w:val="24"/>
                <w:lang w:eastAsia="en-IE"/>
              </w:rPr>
              <w:t>CHARACTERISTICS OF THE EFFECTS AND OF THE AREA LIKELY TO BE AFFECTED, HAVING REGARD, IN PARTICULAR, TO:</w:t>
            </w:r>
          </w:p>
        </w:tc>
      </w:tr>
      <w:tr w:rsidR="00FE5FD3" w:rsidRPr="001D36F6" w14:paraId="1B7AE138"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38349E52" w14:textId="77777777" w:rsidR="00764E07" w:rsidRPr="001D36F6" w:rsidRDefault="00FE5FD3" w:rsidP="00764E07">
            <w:pPr>
              <w:spacing w:after="0" w:line="240" w:lineRule="auto"/>
              <w:jc w:val="both"/>
              <w:rPr>
                <w:rFonts w:ascii="Arial" w:eastAsia="Times New Roman" w:hAnsi="Arial" w:cs="Arial"/>
                <w:b/>
                <w:bCs/>
                <w:color w:val="000000"/>
                <w:sz w:val="24"/>
                <w:szCs w:val="24"/>
                <w:lang w:eastAsia="en-IE"/>
              </w:rPr>
            </w:pPr>
            <w:r w:rsidRPr="001D36F6">
              <w:rPr>
                <w:rFonts w:ascii="Arial" w:eastAsia="Times New Roman" w:hAnsi="Arial" w:cs="Arial"/>
                <w:b/>
                <w:bCs/>
                <w:color w:val="000000"/>
                <w:sz w:val="24"/>
                <w:szCs w:val="24"/>
                <w:lang w:eastAsia="en-IE"/>
              </w:rPr>
              <w:t>The probability, duration, frequency and reversibility of the effects.</w:t>
            </w:r>
            <w:r w:rsidR="00764E07">
              <w:rPr>
                <w:rFonts w:ascii="Arial" w:eastAsia="Times New Roman" w:hAnsi="Arial" w:cs="Arial"/>
                <w:b/>
                <w:bCs/>
                <w:color w:val="000000"/>
                <w:sz w:val="24"/>
                <w:szCs w:val="24"/>
                <w:lang w:eastAsia="en-IE"/>
              </w:rPr>
              <w:t xml:space="preserve"> </w:t>
            </w:r>
            <w:r w:rsidR="00764E07" w:rsidRPr="001D36F6">
              <w:rPr>
                <w:rFonts w:ascii="Arial" w:eastAsia="Times New Roman" w:hAnsi="Arial" w:cs="Arial"/>
                <w:b/>
                <w:bCs/>
                <w:color w:val="000000"/>
                <w:sz w:val="24"/>
                <w:szCs w:val="24"/>
                <w:lang w:eastAsia="en-IE"/>
              </w:rPr>
              <w:t>The cumulative nature of the effects.</w:t>
            </w:r>
          </w:p>
          <w:p w14:paraId="2F2437BC" w14:textId="59F836B9" w:rsidR="00FE5FD3" w:rsidRPr="001D36F6" w:rsidRDefault="00FE5FD3" w:rsidP="00381A4D">
            <w:pPr>
              <w:rPr>
                <w:rFonts w:ascii="Arial" w:eastAsia="Times New Roman" w:hAnsi="Arial" w:cs="Arial"/>
                <w:sz w:val="24"/>
                <w:szCs w:val="24"/>
                <w:lang w:eastAsia="en-IE"/>
              </w:rPr>
            </w:pPr>
            <w:r w:rsidRPr="001D36F6">
              <w:rPr>
                <w:rFonts w:ascii="Arial" w:eastAsia="Times New Roman" w:hAnsi="Arial" w:cs="Arial"/>
                <w:b/>
                <w:bCs/>
                <w:color w:val="000000"/>
                <w:sz w:val="24"/>
                <w:szCs w:val="24"/>
                <w:lang w:eastAsia="en-IE"/>
              </w:rPr>
              <w:br/>
            </w:r>
            <w:r w:rsidR="00CF3515">
              <w:rPr>
                <w:rFonts w:ascii="Arial" w:hAnsi="Arial" w:cs="Arial"/>
                <w:sz w:val="24"/>
                <w:szCs w:val="24"/>
              </w:rPr>
              <w:t>N</w:t>
            </w:r>
            <w:r w:rsidRPr="001D36F6">
              <w:rPr>
                <w:rFonts w:ascii="Arial" w:hAnsi="Arial" w:cs="Arial"/>
                <w:sz w:val="24"/>
                <w:szCs w:val="24"/>
              </w:rPr>
              <w:t>o specific</w:t>
            </w:r>
            <w:r w:rsidR="00DF63A5">
              <w:rPr>
                <w:rFonts w:ascii="Arial" w:hAnsi="Arial" w:cs="Arial"/>
                <w:sz w:val="24"/>
                <w:szCs w:val="24"/>
              </w:rPr>
              <w:t xml:space="preserve"> </w:t>
            </w:r>
            <w:r w:rsidRPr="001D36F6">
              <w:rPr>
                <w:rFonts w:ascii="Arial" w:hAnsi="Arial" w:cs="Arial"/>
                <w:sz w:val="24"/>
                <w:szCs w:val="24"/>
              </w:rPr>
              <w:t>land use</w:t>
            </w:r>
            <w:r w:rsidR="00DF63A5">
              <w:rPr>
                <w:rFonts w:ascii="Arial" w:hAnsi="Arial" w:cs="Arial"/>
                <w:sz w:val="24"/>
                <w:szCs w:val="24"/>
              </w:rPr>
              <w:t xml:space="preserve"> or cumulative</w:t>
            </w:r>
            <w:r w:rsidRPr="001D36F6">
              <w:rPr>
                <w:rFonts w:ascii="Arial" w:hAnsi="Arial" w:cs="Arial"/>
                <w:sz w:val="24"/>
                <w:szCs w:val="24"/>
              </w:rPr>
              <w:t xml:space="preserve"> effects</w:t>
            </w:r>
            <w:r w:rsidR="00381A4D">
              <w:rPr>
                <w:rFonts w:ascii="Arial" w:hAnsi="Arial" w:cs="Arial"/>
                <w:sz w:val="24"/>
                <w:szCs w:val="24"/>
              </w:rPr>
              <w:t xml:space="preserve"> have been</w:t>
            </w:r>
            <w:r w:rsidRPr="001D36F6">
              <w:rPr>
                <w:rFonts w:ascii="Arial" w:hAnsi="Arial" w:cs="Arial"/>
                <w:sz w:val="24"/>
                <w:szCs w:val="24"/>
              </w:rPr>
              <w:t xml:space="preserve"> identified through the </w:t>
            </w:r>
            <w:r w:rsidR="00623B17">
              <w:rPr>
                <w:rFonts w:ascii="Arial" w:hAnsi="Arial" w:cs="Arial"/>
                <w:sz w:val="24"/>
                <w:szCs w:val="24"/>
              </w:rPr>
              <w:t>proposed</w:t>
            </w:r>
            <w:r w:rsidR="00593FDA">
              <w:rPr>
                <w:rFonts w:ascii="Arial" w:hAnsi="Arial" w:cs="Arial"/>
                <w:sz w:val="24"/>
                <w:szCs w:val="24"/>
              </w:rPr>
              <w:t xml:space="preserve"> variation.  </w:t>
            </w:r>
          </w:p>
        </w:tc>
      </w:tr>
      <w:tr w:rsidR="00FE5FD3" w:rsidRPr="001D36F6" w14:paraId="7669D2DD"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51B06043" w14:textId="33A3F940" w:rsidR="00FE5FD3" w:rsidRPr="001D36F6" w:rsidRDefault="00FE5FD3" w:rsidP="003D702F">
            <w:pPr>
              <w:spacing w:after="0" w:line="240" w:lineRule="auto"/>
              <w:rPr>
                <w:rFonts w:ascii="Arial" w:eastAsia="Times New Roman" w:hAnsi="Arial" w:cs="Arial"/>
                <w:sz w:val="24"/>
                <w:szCs w:val="24"/>
                <w:highlight w:val="yellow"/>
                <w:lang w:eastAsia="en-IE"/>
              </w:rPr>
            </w:pPr>
            <w:r w:rsidRPr="001D36F6">
              <w:rPr>
                <w:rFonts w:ascii="Arial" w:eastAsia="Times New Roman" w:hAnsi="Arial" w:cs="Arial"/>
                <w:b/>
                <w:bCs/>
                <w:color w:val="000000"/>
                <w:sz w:val="24"/>
                <w:szCs w:val="24"/>
                <w:lang w:eastAsia="en-IE"/>
              </w:rPr>
              <w:t>The transboundary nature of the effects.</w:t>
            </w:r>
            <w:r w:rsidRPr="001D36F6">
              <w:rPr>
                <w:rFonts w:ascii="Arial" w:eastAsia="Times New Roman" w:hAnsi="Arial" w:cs="Arial"/>
                <w:b/>
                <w:bCs/>
                <w:color w:val="000000"/>
                <w:sz w:val="24"/>
                <w:szCs w:val="24"/>
                <w:lang w:eastAsia="en-IE"/>
              </w:rPr>
              <w:br/>
            </w:r>
            <w:r w:rsidR="003D702F">
              <w:rPr>
                <w:rFonts w:ascii="Arial" w:hAnsi="Arial" w:cs="Arial"/>
                <w:sz w:val="24"/>
                <w:szCs w:val="24"/>
              </w:rPr>
              <w:t>N</w:t>
            </w:r>
            <w:r w:rsidRPr="001D36F6">
              <w:rPr>
                <w:rFonts w:ascii="Arial" w:hAnsi="Arial" w:cs="Arial"/>
                <w:sz w:val="24"/>
                <w:szCs w:val="24"/>
              </w:rPr>
              <w:t>o potential for transboundary eff</w:t>
            </w:r>
            <w:r w:rsidR="003D702F">
              <w:rPr>
                <w:rFonts w:ascii="Arial" w:hAnsi="Arial" w:cs="Arial"/>
                <w:sz w:val="24"/>
                <w:szCs w:val="24"/>
              </w:rPr>
              <w:t>ects are identified</w:t>
            </w:r>
            <w:r w:rsidRPr="001D36F6">
              <w:rPr>
                <w:rFonts w:ascii="Arial" w:hAnsi="Arial" w:cs="Arial"/>
                <w:sz w:val="24"/>
                <w:szCs w:val="24"/>
              </w:rPr>
              <w:t>.</w:t>
            </w:r>
          </w:p>
        </w:tc>
      </w:tr>
      <w:tr w:rsidR="00FE5FD3" w:rsidRPr="001D36F6" w14:paraId="16F09DB7"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54CB5109" w14:textId="77777777" w:rsidR="00FE5FD3" w:rsidRPr="001D36F6" w:rsidRDefault="00FE5FD3" w:rsidP="00593FDA">
            <w:pPr>
              <w:spacing w:after="0" w:line="240" w:lineRule="auto"/>
              <w:rPr>
                <w:rFonts w:ascii="Arial" w:eastAsia="Times New Roman" w:hAnsi="Arial" w:cs="Arial"/>
                <w:sz w:val="24"/>
                <w:szCs w:val="24"/>
                <w:highlight w:val="yellow"/>
                <w:lang w:eastAsia="en-IE"/>
              </w:rPr>
            </w:pPr>
            <w:r w:rsidRPr="001D36F6">
              <w:rPr>
                <w:rFonts w:ascii="Arial" w:eastAsia="Times New Roman" w:hAnsi="Arial" w:cs="Arial"/>
                <w:b/>
                <w:bCs/>
                <w:color w:val="000000"/>
                <w:sz w:val="24"/>
                <w:szCs w:val="24"/>
                <w:lang w:eastAsia="en-IE"/>
              </w:rPr>
              <w:t>The risks to human health or the environment (e.g. due to accidents).</w:t>
            </w:r>
            <w:r w:rsidRPr="001D36F6">
              <w:rPr>
                <w:rFonts w:ascii="Arial" w:eastAsia="Times New Roman" w:hAnsi="Arial" w:cs="Arial"/>
                <w:b/>
                <w:bCs/>
                <w:color w:val="000000"/>
                <w:sz w:val="24"/>
                <w:szCs w:val="24"/>
                <w:lang w:eastAsia="en-IE"/>
              </w:rPr>
              <w:br/>
            </w:r>
            <w:r w:rsidRPr="001D36F6">
              <w:rPr>
                <w:rFonts w:ascii="Arial" w:hAnsi="Arial" w:cs="Arial"/>
                <w:sz w:val="24"/>
                <w:szCs w:val="24"/>
              </w:rPr>
              <w:t>There is no likelihood of any significant impacts to human health or the environment as a result of the implementatio</w:t>
            </w:r>
            <w:r w:rsidR="00593FDA">
              <w:rPr>
                <w:rFonts w:ascii="Arial" w:hAnsi="Arial" w:cs="Arial"/>
                <w:sz w:val="24"/>
                <w:szCs w:val="24"/>
              </w:rPr>
              <w:t>n of the variation</w:t>
            </w:r>
            <w:r w:rsidRPr="001D36F6">
              <w:rPr>
                <w:rFonts w:ascii="Arial" w:hAnsi="Arial" w:cs="Arial"/>
                <w:sz w:val="24"/>
                <w:szCs w:val="24"/>
              </w:rPr>
              <w:t xml:space="preserve">.  </w:t>
            </w:r>
          </w:p>
        </w:tc>
      </w:tr>
      <w:tr w:rsidR="00FE5FD3" w:rsidRPr="001D36F6" w14:paraId="31F461EC"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27DF27FC" w14:textId="77777777" w:rsidR="00FE5FD3" w:rsidRPr="001D36F6" w:rsidRDefault="00FE5FD3" w:rsidP="00C61CA9">
            <w:pPr>
              <w:spacing w:after="0" w:line="240" w:lineRule="auto"/>
              <w:rPr>
                <w:rFonts w:ascii="Arial" w:eastAsia="Times New Roman" w:hAnsi="Arial" w:cs="Arial"/>
                <w:b/>
                <w:bCs/>
                <w:color w:val="000000"/>
                <w:sz w:val="24"/>
                <w:szCs w:val="24"/>
                <w:lang w:eastAsia="en-IE"/>
              </w:rPr>
            </w:pPr>
            <w:r w:rsidRPr="001D36F6">
              <w:rPr>
                <w:rFonts w:ascii="Arial" w:eastAsia="Times New Roman" w:hAnsi="Arial" w:cs="Arial"/>
                <w:b/>
                <w:bCs/>
                <w:color w:val="000000"/>
                <w:sz w:val="24"/>
                <w:szCs w:val="24"/>
                <w:lang w:eastAsia="en-IE"/>
              </w:rPr>
              <w:t>The magnitude and spatial extent of the effects (geographical area and size of population likely to be affected).</w:t>
            </w:r>
          </w:p>
          <w:p w14:paraId="370DB25C" w14:textId="77777777" w:rsidR="00FE5FD3" w:rsidRPr="001D36F6" w:rsidRDefault="00FE5FD3" w:rsidP="00C61CA9">
            <w:pPr>
              <w:spacing w:after="0" w:line="240" w:lineRule="auto"/>
              <w:rPr>
                <w:rFonts w:ascii="Arial" w:hAnsi="Arial" w:cs="Arial"/>
                <w:sz w:val="24"/>
                <w:szCs w:val="24"/>
              </w:rPr>
            </w:pPr>
          </w:p>
          <w:p w14:paraId="4C44EA69" w14:textId="751FCD7A" w:rsidR="00CF3515" w:rsidRDefault="00CF3515" w:rsidP="003D702F">
            <w:pPr>
              <w:spacing w:after="0" w:line="240" w:lineRule="auto"/>
            </w:pPr>
            <w:r>
              <w:rPr>
                <w:rFonts w:ascii="Arial" w:hAnsi="Arial" w:cs="Arial"/>
                <w:sz w:val="24"/>
                <w:szCs w:val="24"/>
              </w:rPr>
              <w:t>N</w:t>
            </w:r>
            <w:r w:rsidRPr="001D36F6">
              <w:rPr>
                <w:rFonts w:ascii="Arial" w:hAnsi="Arial" w:cs="Arial"/>
                <w:sz w:val="24"/>
                <w:szCs w:val="24"/>
              </w:rPr>
              <w:t>o specific land use</w:t>
            </w:r>
            <w:r>
              <w:rPr>
                <w:rFonts w:ascii="Arial" w:hAnsi="Arial" w:cs="Arial"/>
                <w:sz w:val="24"/>
                <w:szCs w:val="24"/>
              </w:rPr>
              <w:t xml:space="preserve"> or cumulative</w:t>
            </w:r>
            <w:r w:rsidRPr="001D36F6">
              <w:rPr>
                <w:rFonts w:ascii="Arial" w:hAnsi="Arial" w:cs="Arial"/>
                <w:sz w:val="24"/>
                <w:szCs w:val="24"/>
              </w:rPr>
              <w:t xml:space="preserve"> effects identified through the </w:t>
            </w:r>
            <w:r w:rsidR="00381A4D">
              <w:rPr>
                <w:rFonts w:ascii="Arial" w:hAnsi="Arial" w:cs="Arial"/>
                <w:sz w:val="24"/>
                <w:szCs w:val="24"/>
              </w:rPr>
              <w:t>proposed variation</w:t>
            </w:r>
            <w:r>
              <w:rPr>
                <w:rFonts w:ascii="Arial" w:hAnsi="Arial" w:cs="Arial"/>
                <w:sz w:val="24"/>
                <w:szCs w:val="24"/>
              </w:rPr>
              <w:t xml:space="preserve">.  </w:t>
            </w:r>
          </w:p>
          <w:p w14:paraId="08975DC1" w14:textId="0D22DE1E" w:rsidR="003D702F" w:rsidRPr="001D36F6" w:rsidRDefault="003D702F" w:rsidP="003D702F">
            <w:pPr>
              <w:spacing w:after="0" w:line="240" w:lineRule="auto"/>
              <w:rPr>
                <w:rFonts w:ascii="Arial" w:eastAsia="Times New Roman" w:hAnsi="Arial" w:cs="Arial"/>
                <w:sz w:val="24"/>
                <w:szCs w:val="24"/>
                <w:highlight w:val="yellow"/>
                <w:lang w:eastAsia="en-IE"/>
              </w:rPr>
            </w:pPr>
          </w:p>
        </w:tc>
      </w:tr>
      <w:tr w:rsidR="00FE5FD3" w:rsidRPr="001D36F6" w14:paraId="2C797947" w14:textId="77777777" w:rsidTr="00C61CA9">
        <w:tc>
          <w:tcPr>
            <w:tcW w:w="8613" w:type="dxa"/>
            <w:tcBorders>
              <w:top w:val="single" w:sz="4" w:space="0" w:color="auto"/>
              <w:left w:val="single" w:sz="4" w:space="0" w:color="auto"/>
              <w:bottom w:val="single" w:sz="4" w:space="0" w:color="auto"/>
              <w:right w:val="single" w:sz="4" w:space="0" w:color="auto"/>
            </w:tcBorders>
            <w:vAlign w:val="center"/>
            <w:hideMark/>
          </w:tcPr>
          <w:p w14:paraId="3CE27981" w14:textId="77777777" w:rsidR="00145B21" w:rsidRDefault="00FE5FD3" w:rsidP="00C61CA9">
            <w:pPr>
              <w:spacing w:after="0" w:line="240" w:lineRule="auto"/>
              <w:rPr>
                <w:rFonts w:ascii="Arial" w:eastAsia="Times New Roman" w:hAnsi="Arial" w:cs="Arial"/>
                <w:b/>
                <w:bCs/>
                <w:color w:val="000000"/>
                <w:sz w:val="24"/>
                <w:szCs w:val="24"/>
                <w:lang w:eastAsia="en-IE"/>
              </w:rPr>
            </w:pPr>
            <w:r w:rsidRPr="001D36F6">
              <w:rPr>
                <w:rFonts w:ascii="Arial" w:eastAsia="Times New Roman" w:hAnsi="Arial" w:cs="Arial"/>
                <w:b/>
                <w:bCs/>
                <w:color w:val="000000"/>
                <w:sz w:val="24"/>
                <w:szCs w:val="24"/>
                <w:lang w:eastAsia="en-IE"/>
              </w:rPr>
              <w:t>The value, and vulnerability of the area likely to be affected due to:</w:t>
            </w:r>
            <w:r w:rsidRPr="001D36F6">
              <w:rPr>
                <w:rFonts w:ascii="Arial" w:eastAsia="Times New Roman" w:hAnsi="Arial" w:cs="Arial"/>
                <w:b/>
                <w:bCs/>
                <w:color w:val="000000"/>
                <w:sz w:val="24"/>
                <w:szCs w:val="24"/>
                <w:lang w:eastAsia="en-IE"/>
              </w:rPr>
              <w:br/>
              <w:t>(a) special natural characteristics or cultural heritage;</w:t>
            </w:r>
          </w:p>
          <w:p w14:paraId="575C2773" w14:textId="249527BD" w:rsidR="00145B21" w:rsidRDefault="00145B21" w:rsidP="00145B21">
            <w:pPr>
              <w:spacing w:after="0" w:line="240" w:lineRule="auto"/>
              <w:rPr>
                <w:rFonts w:ascii="Arial" w:eastAsia="Times New Roman" w:hAnsi="Arial" w:cs="Arial"/>
                <w:b/>
                <w:bCs/>
                <w:color w:val="000000"/>
                <w:sz w:val="24"/>
                <w:szCs w:val="24"/>
                <w:lang w:eastAsia="en-IE"/>
              </w:rPr>
            </w:pPr>
            <w:r w:rsidRPr="001D36F6">
              <w:rPr>
                <w:rFonts w:ascii="Arial" w:eastAsia="Times New Roman" w:hAnsi="Arial" w:cs="Arial"/>
                <w:b/>
                <w:bCs/>
                <w:color w:val="000000"/>
                <w:sz w:val="24"/>
                <w:szCs w:val="24"/>
                <w:lang w:eastAsia="en-IE"/>
              </w:rPr>
              <w:t>(b) exceeded environmental quality standards or limit values;</w:t>
            </w:r>
            <w:r w:rsidRPr="001D36F6">
              <w:rPr>
                <w:rFonts w:ascii="Arial" w:eastAsia="Times New Roman" w:hAnsi="Arial" w:cs="Arial"/>
                <w:b/>
                <w:bCs/>
                <w:color w:val="000000"/>
                <w:sz w:val="24"/>
                <w:szCs w:val="24"/>
                <w:lang w:eastAsia="en-IE"/>
              </w:rPr>
              <w:br/>
              <w:t>(c) intensive land use</w:t>
            </w:r>
          </w:p>
          <w:p w14:paraId="09223842" w14:textId="00D4F11B" w:rsidR="00145B21" w:rsidRDefault="00145B21" w:rsidP="00145B21">
            <w:pPr>
              <w:spacing w:after="0" w:line="240" w:lineRule="auto"/>
              <w:rPr>
                <w:rFonts w:ascii="Arial" w:eastAsia="Times New Roman" w:hAnsi="Arial" w:cs="Arial"/>
                <w:b/>
                <w:bCs/>
                <w:color w:val="000000"/>
                <w:sz w:val="24"/>
                <w:szCs w:val="24"/>
                <w:lang w:eastAsia="en-IE"/>
              </w:rPr>
            </w:pPr>
            <w:r w:rsidRPr="001D36F6">
              <w:rPr>
                <w:rFonts w:ascii="Arial" w:eastAsia="Times New Roman" w:hAnsi="Arial" w:cs="Arial"/>
                <w:b/>
                <w:bCs/>
                <w:color w:val="000000"/>
                <w:sz w:val="24"/>
                <w:szCs w:val="24"/>
                <w:lang w:eastAsia="en-IE"/>
              </w:rPr>
              <w:t>The effects on areas or landscapes which have a recognised national</w:t>
            </w:r>
            <w:proofErr w:type="gramStart"/>
            <w:r w:rsidRPr="001D36F6">
              <w:rPr>
                <w:rFonts w:ascii="Arial" w:eastAsia="Times New Roman" w:hAnsi="Arial" w:cs="Arial"/>
                <w:b/>
                <w:bCs/>
                <w:color w:val="000000"/>
                <w:sz w:val="24"/>
                <w:szCs w:val="24"/>
                <w:lang w:eastAsia="en-IE"/>
              </w:rPr>
              <w:t>,</w:t>
            </w:r>
            <w:proofErr w:type="gramEnd"/>
            <w:r w:rsidRPr="001D36F6">
              <w:rPr>
                <w:rFonts w:ascii="Arial" w:eastAsia="Times New Roman" w:hAnsi="Arial" w:cs="Arial"/>
                <w:b/>
                <w:bCs/>
                <w:color w:val="000000"/>
                <w:sz w:val="24"/>
                <w:szCs w:val="24"/>
                <w:lang w:eastAsia="en-IE"/>
              </w:rPr>
              <w:br/>
              <w:t>European Union or international protection status.</w:t>
            </w:r>
            <w:r w:rsidRPr="001D36F6">
              <w:rPr>
                <w:rFonts w:ascii="Arial" w:eastAsia="Times New Roman" w:hAnsi="Arial" w:cs="Arial"/>
                <w:b/>
                <w:bCs/>
                <w:color w:val="000000"/>
                <w:sz w:val="24"/>
                <w:szCs w:val="24"/>
                <w:lang w:eastAsia="en-IE"/>
              </w:rPr>
              <w:br/>
            </w:r>
          </w:p>
          <w:p w14:paraId="075D660B" w14:textId="743F05D8" w:rsidR="00FE5FD3" w:rsidRPr="001D36F6" w:rsidRDefault="00FE5FD3" w:rsidP="00C61CA9">
            <w:pPr>
              <w:spacing w:after="0" w:line="240" w:lineRule="auto"/>
              <w:rPr>
                <w:rFonts w:ascii="Arial" w:hAnsi="Arial" w:cs="Arial"/>
                <w:color w:val="000000"/>
                <w:sz w:val="24"/>
                <w:szCs w:val="24"/>
              </w:rPr>
            </w:pPr>
          </w:p>
          <w:p w14:paraId="2DC1EFE9" w14:textId="1BE20E90" w:rsidR="00CF3515" w:rsidRDefault="00CF3515" w:rsidP="00C61CA9">
            <w:pPr>
              <w:spacing w:after="120" w:line="276" w:lineRule="auto"/>
              <w:outlineLvl w:val="0"/>
              <w:rPr>
                <w:rFonts w:ascii="Arial" w:hAnsi="Arial" w:cs="Arial"/>
                <w:sz w:val="24"/>
                <w:szCs w:val="24"/>
              </w:rPr>
            </w:pPr>
            <w:r>
              <w:rPr>
                <w:rFonts w:ascii="Arial" w:hAnsi="Arial" w:cs="Arial"/>
                <w:sz w:val="24"/>
                <w:szCs w:val="24"/>
              </w:rPr>
              <w:t>N</w:t>
            </w:r>
            <w:r w:rsidRPr="001D36F6">
              <w:rPr>
                <w:rFonts w:ascii="Arial" w:hAnsi="Arial" w:cs="Arial"/>
                <w:sz w:val="24"/>
                <w:szCs w:val="24"/>
              </w:rPr>
              <w:t>o specific</w:t>
            </w:r>
            <w:r>
              <w:rPr>
                <w:rFonts w:ascii="Arial" w:hAnsi="Arial" w:cs="Arial"/>
                <w:sz w:val="24"/>
                <w:szCs w:val="24"/>
              </w:rPr>
              <w:t xml:space="preserve"> negative</w:t>
            </w:r>
            <w:r w:rsidRPr="001D36F6">
              <w:rPr>
                <w:rFonts w:ascii="Arial" w:hAnsi="Arial" w:cs="Arial"/>
                <w:sz w:val="24"/>
                <w:szCs w:val="24"/>
              </w:rPr>
              <w:t xml:space="preserve"> land use</w:t>
            </w:r>
            <w:r>
              <w:rPr>
                <w:rFonts w:ascii="Arial" w:hAnsi="Arial" w:cs="Arial"/>
                <w:sz w:val="24"/>
                <w:szCs w:val="24"/>
              </w:rPr>
              <w:t xml:space="preserve"> or cumulative</w:t>
            </w:r>
            <w:r w:rsidRPr="001D36F6">
              <w:rPr>
                <w:rFonts w:ascii="Arial" w:hAnsi="Arial" w:cs="Arial"/>
                <w:sz w:val="24"/>
                <w:szCs w:val="24"/>
              </w:rPr>
              <w:t xml:space="preserve"> effects identified through the </w:t>
            </w:r>
            <w:r>
              <w:rPr>
                <w:rFonts w:ascii="Arial" w:hAnsi="Arial" w:cs="Arial"/>
                <w:sz w:val="24"/>
                <w:szCs w:val="24"/>
              </w:rPr>
              <w:t xml:space="preserve">proposed variation.  </w:t>
            </w:r>
          </w:p>
          <w:p w14:paraId="64965C80" w14:textId="0DAFD66E" w:rsidR="00FE5FD3" w:rsidRPr="001D36F6" w:rsidRDefault="00FE5FD3" w:rsidP="00C61CA9">
            <w:pPr>
              <w:spacing w:after="120" w:line="276" w:lineRule="auto"/>
              <w:outlineLvl w:val="0"/>
              <w:rPr>
                <w:rFonts w:ascii="Arial" w:eastAsia="Times New Roman" w:hAnsi="Arial" w:cs="Arial"/>
                <w:sz w:val="24"/>
                <w:szCs w:val="24"/>
                <w:lang w:eastAsia="en-IE"/>
              </w:rPr>
            </w:pPr>
            <w:r w:rsidRPr="001D36F6">
              <w:rPr>
                <w:rFonts w:ascii="Arial" w:hAnsi="Arial" w:cs="Arial"/>
                <w:sz w:val="24"/>
                <w:szCs w:val="24"/>
              </w:rPr>
              <w:t>A screening statement in support of Appropriate Assessment has also been prepared for this plan in line with Article 6(3) of the EU Habitats Directive (92/43/EEC). A finding of no likely significant effects has been concluded as part of this screening statement in support of Appropriate Assessment.</w:t>
            </w:r>
          </w:p>
          <w:p w14:paraId="41531C82" w14:textId="2F4291DB" w:rsidR="00FE5FD3" w:rsidRPr="001D36F6" w:rsidRDefault="00FE5FD3" w:rsidP="00145B21">
            <w:pPr>
              <w:spacing w:after="0" w:line="240" w:lineRule="auto"/>
              <w:jc w:val="both"/>
              <w:rPr>
                <w:rFonts w:ascii="Arial" w:eastAsia="Times New Roman" w:hAnsi="Arial" w:cs="Arial"/>
                <w:color w:val="000000"/>
                <w:sz w:val="24"/>
                <w:szCs w:val="24"/>
                <w:lang w:eastAsia="en-IE"/>
              </w:rPr>
            </w:pPr>
          </w:p>
        </w:tc>
      </w:tr>
    </w:tbl>
    <w:p w14:paraId="6E2BCD0D" w14:textId="2B6325CE" w:rsidR="00154B42" w:rsidRDefault="00FE5FD3" w:rsidP="00F53AC8">
      <w:pPr>
        <w:pStyle w:val="BodyText2"/>
        <w:rPr>
          <w:rFonts w:ascii="Arial" w:eastAsia="Calibri" w:hAnsi="Arial" w:cs="Arial"/>
          <w:b/>
          <w:bCs/>
          <w:sz w:val="24"/>
          <w:lang w:eastAsia="en-IE"/>
        </w:rPr>
      </w:pPr>
      <w:r w:rsidRPr="001D36F6">
        <w:rPr>
          <w:lang w:eastAsia="en-IE"/>
        </w:rPr>
        <w:br/>
      </w:r>
    </w:p>
    <w:p w14:paraId="15AE1C1E" w14:textId="77777777" w:rsidR="00701775" w:rsidRDefault="00701775" w:rsidP="00F53AC8">
      <w:pPr>
        <w:pStyle w:val="BodyText2"/>
        <w:rPr>
          <w:rFonts w:ascii="Arial" w:eastAsia="Calibri" w:hAnsi="Arial" w:cs="Arial"/>
          <w:b/>
          <w:bCs/>
          <w:sz w:val="24"/>
          <w:lang w:eastAsia="en-IE"/>
        </w:rPr>
      </w:pPr>
    </w:p>
    <w:p w14:paraId="6C5F0D6F" w14:textId="18081952" w:rsidR="00154B42" w:rsidRDefault="00154B42" w:rsidP="00F53AC8">
      <w:pPr>
        <w:pStyle w:val="BodyText2"/>
        <w:rPr>
          <w:rFonts w:ascii="Arial" w:eastAsia="Calibri" w:hAnsi="Arial" w:cs="Arial"/>
          <w:b/>
          <w:bCs/>
          <w:sz w:val="24"/>
          <w:lang w:eastAsia="en-IE"/>
        </w:rPr>
      </w:pPr>
      <w:r>
        <w:rPr>
          <w:rFonts w:ascii="Arial" w:eastAsia="Calibri" w:hAnsi="Arial" w:cs="Arial"/>
          <w:b/>
          <w:bCs/>
          <w:sz w:val="24"/>
          <w:lang w:eastAsia="en-IE"/>
        </w:rPr>
        <w:lastRenderedPageBreak/>
        <w:t>7.0</w:t>
      </w:r>
      <w:r>
        <w:rPr>
          <w:rFonts w:ascii="Arial" w:eastAsia="Calibri" w:hAnsi="Arial" w:cs="Arial"/>
          <w:b/>
          <w:bCs/>
          <w:sz w:val="24"/>
          <w:lang w:eastAsia="en-IE"/>
        </w:rPr>
        <w:tab/>
        <w:t>Statutory Consultation</w:t>
      </w:r>
    </w:p>
    <w:p w14:paraId="09C0290C" w14:textId="2BF36510" w:rsidR="00154B42" w:rsidRDefault="00154B42" w:rsidP="00F53AC8">
      <w:pPr>
        <w:pStyle w:val="BodyText2"/>
        <w:rPr>
          <w:rFonts w:ascii="Arial" w:eastAsia="Calibri" w:hAnsi="Arial" w:cs="Arial"/>
          <w:b/>
          <w:bCs/>
          <w:sz w:val="24"/>
          <w:lang w:eastAsia="en-IE"/>
        </w:rPr>
      </w:pPr>
    </w:p>
    <w:p w14:paraId="04B91B44" w14:textId="4E9706B5" w:rsidR="00154B42" w:rsidRPr="007A60D3" w:rsidRDefault="00154B42" w:rsidP="00154B42">
      <w:pPr>
        <w:rPr>
          <w:rFonts w:ascii="Arial" w:hAnsi="Arial" w:cs="Arial"/>
        </w:rPr>
      </w:pPr>
      <w:r w:rsidRPr="007A60D3">
        <w:rPr>
          <w:rFonts w:ascii="Arial" w:hAnsi="Arial" w:cs="Arial"/>
        </w:rPr>
        <w:t>In line with SI 436 of 2004/2011, as amended, a SEA Screening Report and propo</w:t>
      </w:r>
      <w:r>
        <w:rPr>
          <w:rFonts w:ascii="Arial" w:hAnsi="Arial" w:cs="Arial"/>
        </w:rPr>
        <w:t>sed determination was issued</w:t>
      </w:r>
      <w:r w:rsidRPr="007A60D3">
        <w:rPr>
          <w:rFonts w:ascii="Arial" w:hAnsi="Arial" w:cs="Arial"/>
        </w:rPr>
        <w:t xml:space="preserve"> to the specified environmental authorities listed below for consultation over a three week period.</w:t>
      </w:r>
    </w:p>
    <w:p w14:paraId="4C57B474" w14:textId="77777777" w:rsidR="00154B42" w:rsidRPr="007A60D3" w:rsidRDefault="00154B42" w:rsidP="00154B42">
      <w:pPr>
        <w:rPr>
          <w:rFonts w:ascii="Arial" w:hAnsi="Arial" w:cs="Arial"/>
        </w:rPr>
      </w:pPr>
    </w:p>
    <w:p w14:paraId="5BB29B2F" w14:textId="77777777" w:rsidR="00154B42" w:rsidRPr="007A60D3" w:rsidRDefault="00154B42" w:rsidP="00154B42">
      <w:pPr>
        <w:numPr>
          <w:ilvl w:val="0"/>
          <w:numId w:val="11"/>
        </w:numPr>
        <w:spacing w:after="120" w:line="240" w:lineRule="auto"/>
        <w:jc w:val="both"/>
        <w:rPr>
          <w:rFonts w:ascii="Arial" w:hAnsi="Arial" w:cs="Arial"/>
        </w:rPr>
      </w:pPr>
      <w:r w:rsidRPr="007A60D3">
        <w:rPr>
          <w:rFonts w:ascii="Arial" w:hAnsi="Arial" w:cs="Arial"/>
        </w:rPr>
        <w:t>Environmental Protection Agency;</w:t>
      </w:r>
    </w:p>
    <w:p w14:paraId="6DF83A21" w14:textId="77777777" w:rsidR="00154B42" w:rsidRPr="007A60D3" w:rsidRDefault="00154B42" w:rsidP="00154B42">
      <w:pPr>
        <w:numPr>
          <w:ilvl w:val="0"/>
          <w:numId w:val="11"/>
        </w:numPr>
        <w:spacing w:after="120" w:line="240" w:lineRule="auto"/>
        <w:jc w:val="both"/>
        <w:rPr>
          <w:rFonts w:ascii="Arial" w:hAnsi="Arial" w:cs="Arial"/>
        </w:rPr>
      </w:pPr>
      <w:r w:rsidRPr="007A60D3">
        <w:rPr>
          <w:rFonts w:ascii="Arial" w:hAnsi="Arial" w:cs="Arial"/>
        </w:rPr>
        <w:t>Minister for Housing, Local Government and Heritage</w:t>
      </w:r>
    </w:p>
    <w:p w14:paraId="66DAFEF2" w14:textId="77777777" w:rsidR="00154B42" w:rsidRPr="007A60D3" w:rsidRDefault="00154B42" w:rsidP="00154B42">
      <w:pPr>
        <w:numPr>
          <w:ilvl w:val="0"/>
          <w:numId w:val="11"/>
        </w:numPr>
        <w:spacing w:after="120" w:line="240" w:lineRule="auto"/>
        <w:jc w:val="both"/>
        <w:rPr>
          <w:rFonts w:ascii="Arial" w:hAnsi="Arial" w:cs="Arial"/>
        </w:rPr>
      </w:pPr>
      <w:r w:rsidRPr="007A60D3">
        <w:rPr>
          <w:rFonts w:ascii="Arial" w:hAnsi="Arial" w:cs="Arial"/>
        </w:rPr>
        <w:t>Minister for Environment, Climate and Communications; and</w:t>
      </w:r>
    </w:p>
    <w:p w14:paraId="7A736699" w14:textId="77777777" w:rsidR="00154B42" w:rsidRPr="007A60D3" w:rsidRDefault="00154B42" w:rsidP="00154B42">
      <w:pPr>
        <w:numPr>
          <w:ilvl w:val="0"/>
          <w:numId w:val="11"/>
        </w:numPr>
        <w:spacing w:after="120" w:line="240" w:lineRule="auto"/>
        <w:jc w:val="both"/>
        <w:rPr>
          <w:rFonts w:ascii="Arial" w:hAnsi="Arial" w:cs="Arial"/>
        </w:rPr>
      </w:pPr>
      <w:r w:rsidRPr="007A60D3">
        <w:rPr>
          <w:rFonts w:ascii="Arial" w:hAnsi="Arial" w:cs="Arial"/>
        </w:rPr>
        <w:t>Minister for Agriculture, Food and the Marine.</w:t>
      </w:r>
    </w:p>
    <w:p w14:paraId="3833EFDF" w14:textId="77777777" w:rsidR="00154B42" w:rsidRPr="007A60D3" w:rsidRDefault="00154B42" w:rsidP="00154B42">
      <w:pPr>
        <w:numPr>
          <w:ilvl w:val="0"/>
          <w:numId w:val="11"/>
        </w:numPr>
        <w:spacing w:after="120" w:line="240" w:lineRule="auto"/>
        <w:jc w:val="both"/>
        <w:rPr>
          <w:rFonts w:ascii="Arial" w:hAnsi="Arial" w:cs="Arial"/>
        </w:rPr>
      </w:pPr>
      <w:r w:rsidRPr="007A60D3">
        <w:rPr>
          <w:rFonts w:ascii="Arial" w:hAnsi="Arial" w:cs="Arial"/>
        </w:rPr>
        <w:t>Adjacent Local Authorities</w:t>
      </w:r>
    </w:p>
    <w:p w14:paraId="4DAFB470" w14:textId="77777777" w:rsidR="009922F4" w:rsidRPr="00C80A9E" w:rsidRDefault="009922F4" w:rsidP="00F53AC8">
      <w:pPr>
        <w:pStyle w:val="BodyText2"/>
        <w:rPr>
          <w:rFonts w:ascii="Arial" w:eastAsia="Calibri" w:hAnsi="Arial" w:cs="Arial"/>
          <w:bCs/>
          <w:sz w:val="22"/>
          <w:szCs w:val="22"/>
          <w:lang w:eastAsia="en-IE"/>
        </w:rPr>
      </w:pPr>
    </w:p>
    <w:p w14:paraId="3378D707" w14:textId="3D311B03" w:rsidR="00154B42" w:rsidRPr="00C80A9E" w:rsidRDefault="009922F4" w:rsidP="00F53AC8">
      <w:pPr>
        <w:pStyle w:val="BodyText2"/>
        <w:rPr>
          <w:rFonts w:ascii="Arial" w:eastAsia="Calibri" w:hAnsi="Arial" w:cs="Arial"/>
          <w:bCs/>
          <w:sz w:val="22"/>
          <w:szCs w:val="22"/>
          <w:lang w:eastAsia="en-IE"/>
        </w:rPr>
      </w:pPr>
      <w:r w:rsidRPr="00C80A9E">
        <w:rPr>
          <w:rFonts w:ascii="Arial" w:eastAsia="Calibri" w:hAnsi="Arial" w:cs="Arial"/>
          <w:bCs/>
          <w:sz w:val="22"/>
          <w:szCs w:val="22"/>
          <w:lang w:eastAsia="en-IE"/>
        </w:rPr>
        <w:t>No Environmental Authority responses</w:t>
      </w:r>
      <w:r w:rsidR="003D78EB">
        <w:rPr>
          <w:rFonts w:ascii="Arial" w:eastAsia="Calibri" w:hAnsi="Arial" w:cs="Arial"/>
          <w:bCs/>
          <w:sz w:val="22"/>
          <w:szCs w:val="22"/>
          <w:lang w:eastAsia="en-IE"/>
        </w:rPr>
        <w:t xml:space="preserve"> (submissions or observations)</w:t>
      </w:r>
      <w:r w:rsidRPr="00C80A9E">
        <w:rPr>
          <w:rFonts w:ascii="Arial" w:eastAsia="Calibri" w:hAnsi="Arial" w:cs="Arial"/>
          <w:bCs/>
          <w:sz w:val="22"/>
          <w:szCs w:val="22"/>
          <w:lang w:eastAsia="en-IE"/>
        </w:rPr>
        <w:t xml:space="preserve"> were received within the three</w:t>
      </w:r>
      <w:r w:rsidR="003D78EB">
        <w:rPr>
          <w:rFonts w:ascii="Arial" w:eastAsia="Calibri" w:hAnsi="Arial" w:cs="Arial"/>
          <w:bCs/>
          <w:sz w:val="22"/>
          <w:szCs w:val="22"/>
          <w:lang w:eastAsia="en-IE"/>
        </w:rPr>
        <w:t>-</w:t>
      </w:r>
      <w:r w:rsidR="00153266">
        <w:rPr>
          <w:rFonts w:ascii="Arial" w:eastAsia="Calibri" w:hAnsi="Arial" w:cs="Arial"/>
          <w:bCs/>
          <w:sz w:val="22"/>
          <w:szCs w:val="22"/>
          <w:lang w:eastAsia="en-IE"/>
        </w:rPr>
        <w:t>week statutory period prior to the Public Display period.</w:t>
      </w:r>
      <w:r w:rsidRPr="00C80A9E">
        <w:rPr>
          <w:rFonts w:ascii="Arial" w:eastAsia="Calibri" w:hAnsi="Arial" w:cs="Arial"/>
          <w:bCs/>
          <w:sz w:val="22"/>
          <w:szCs w:val="22"/>
          <w:lang w:eastAsia="en-IE"/>
        </w:rPr>
        <w:t xml:space="preserve"> </w:t>
      </w:r>
    </w:p>
    <w:p w14:paraId="04643FD8" w14:textId="77777777" w:rsidR="00154B42" w:rsidRPr="00C80A9E" w:rsidRDefault="00154B42" w:rsidP="00F53AC8">
      <w:pPr>
        <w:pStyle w:val="BodyText2"/>
        <w:rPr>
          <w:rFonts w:ascii="Arial" w:eastAsia="Calibri" w:hAnsi="Arial" w:cs="Arial"/>
          <w:bCs/>
          <w:sz w:val="22"/>
          <w:szCs w:val="22"/>
          <w:lang w:eastAsia="en-IE"/>
        </w:rPr>
      </w:pPr>
    </w:p>
    <w:p w14:paraId="4F21F715" w14:textId="7E11576C" w:rsidR="00154B42" w:rsidRDefault="00154B42" w:rsidP="00F53AC8">
      <w:pPr>
        <w:pStyle w:val="BodyText2"/>
        <w:rPr>
          <w:rFonts w:ascii="Arial" w:eastAsia="Calibri" w:hAnsi="Arial" w:cs="Arial"/>
          <w:b/>
          <w:bCs/>
          <w:sz w:val="24"/>
          <w:lang w:eastAsia="en-IE"/>
        </w:rPr>
      </w:pPr>
      <w:r>
        <w:rPr>
          <w:rFonts w:ascii="Arial" w:eastAsia="Calibri" w:hAnsi="Arial" w:cs="Arial"/>
          <w:b/>
          <w:bCs/>
          <w:sz w:val="24"/>
          <w:lang w:eastAsia="en-IE"/>
        </w:rPr>
        <w:t>8</w:t>
      </w:r>
      <w:r w:rsidR="00F53AC8">
        <w:rPr>
          <w:rFonts w:ascii="Arial" w:eastAsia="Calibri" w:hAnsi="Arial" w:cs="Arial"/>
          <w:b/>
          <w:bCs/>
          <w:sz w:val="24"/>
          <w:lang w:eastAsia="en-IE"/>
        </w:rPr>
        <w:t>.0</w:t>
      </w:r>
      <w:r w:rsidR="00F53AC8">
        <w:rPr>
          <w:rFonts w:ascii="Arial" w:eastAsia="Calibri" w:hAnsi="Arial" w:cs="Arial"/>
          <w:b/>
          <w:bCs/>
          <w:sz w:val="24"/>
          <w:lang w:eastAsia="en-IE"/>
        </w:rPr>
        <w:tab/>
      </w:r>
      <w:r>
        <w:rPr>
          <w:rFonts w:ascii="Arial" w:eastAsia="Calibri" w:hAnsi="Arial" w:cs="Arial"/>
          <w:b/>
          <w:bCs/>
          <w:sz w:val="24"/>
          <w:lang w:eastAsia="en-IE"/>
        </w:rPr>
        <w:t>Conclusion</w:t>
      </w:r>
    </w:p>
    <w:p w14:paraId="7A53B681" w14:textId="788D5ED5" w:rsidR="00154B42" w:rsidRDefault="00154B42" w:rsidP="00F53AC8">
      <w:pPr>
        <w:pStyle w:val="BodyText2"/>
        <w:rPr>
          <w:rFonts w:ascii="Arial" w:eastAsia="Calibri" w:hAnsi="Arial" w:cs="Arial"/>
          <w:b/>
          <w:bCs/>
          <w:sz w:val="24"/>
          <w:lang w:eastAsia="en-IE"/>
        </w:rPr>
      </w:pPr>
    </w:p>
    <w:p w14:paraId="49A575F2" w14:textId="321A85A1" w:rsidR="00154B42" w:rsidRDefault="00154B42" w:rsidP="00154B42">
      <w:pPr>
        <w:autoSpaceDE w:val="0"/>
        <w:autoSpaceDN w:val="0"/>
        <w:adjustRightInd w:val="0"/>
        <w:spacing w:line="276" w:lineRule="auto"/>
        <w:rPr>
          <w:rFonts w:ascii="Arial" w:hAnsi="Arial" w:cs="Arial"/>
        </w:rPr>
      </w:pPr>
      <w:r w:rsidRPr="009963E3">
        <w:rPr>
          <w:rFonts w:ascii="Arial" w:eastAsia="Calibri" w:hAnsi="Arial" w:cs="Arial"/>
          <w:lang w:eastAsia="en-IE"/>
        </w:rPr>
        <w:t xml:space="preserve">The proposed variation </w:t>
      </w:r>
      <w:r>
        <w:rPr>
          <w:rFonts w:ascii="Arial" w:eastAsia="Calibri" w:hAnsi="Arial" w:cs="Arial"/>
          <w:lang w:eastAsia="en-IE"/>
        </w:rPr>
        <w:t xml:space="preserve">No. 5 to the Dublin City Development Plan 2022 – 2028 </w:t>
      </w:r>
      <w:r w:rsidRPr="009963E3">
        <w:rPr>
          <w:rFonts w:ascii="Arial" w:eastAsia="Calibri" w:hAnsi="Arial" w:cs="Arial"/>
          <w:lang w:eastAsia="en-IE"/>
        </w:rPr>
        <w:t xml:space="preserve">has been examined in light of the criteria detailed in Schedule 2A </w:t>
      </w:r>
      <w:r w:rsidRPr="009963E3">
        <w:rPr>
          <w:rFonts w:ascii="Arial" w:hAnsi="Arial" w:cs="Arial"/>
          <w:bCs/>
        </w:rPr>
        <w:t xml:space="preserve">of the Planning and Development Regulations 2001, as amended </w:t>
      </w:r>
      <w:r w:rsidRPr="009963E3">
        <w:rPr>
          <w:rFonts w:ascii="Arial" w:eastAsia="Calibri" w:hAnsi="Arial" w:cs="Arial"/>
          <w:lang w:eastAsia="en-IE"/>
        </w:rPr>
        <w:t>and it is considered that the proposed variation is not likely to have significant effects</w:t>
      </w:r>
      <w:r>
        <w:rPr>
          <w:rFonts w:ascii="Arial" w:eastAsia="Calibri" w:hAnsi="Arial" w:cs="Arial"/>
          <w:lang w:eastAsia="en-IE"/>
        </w:rPr>
        <w:t xml:space="preserve"> on the environment for the reasons outlined above.  In this regard it is determined that a strategic environmental assessment is not required. </w:t>
      </w:r>
    </w:p>
    <w:p w14:paraId="627C07D7" w14:textId="77777777" w:rsidR="00154B42" w:rsidRDefault="00154B42" w:rsidP="00F53AC8">
      <w:pPr>
        <w:pStyle w:val="BodyText2"/>
        <w:rPr>
          <w:rFonts w:ascii="Arial" w:eastAsia="Calibri" w:hAnsi="Arial" w:cs="Arial"/>
          <w:b/>
          <w:bCs/>
          <w:sz w:val="24"/>
          <w:lang w:eastAsia="en-IE"/>
        </w:rPr>
      </w:pPr>
    </w:p>
    <w:p w14:paraId="02D2E688" w14:textId="7925858D" w:rsidR="00154B42" w:rsidRDefault="00154B42">
      <w:pPr>
        <w:rPr>
          <w:rFonts w:ascii="Arial" w:hAnsi="Arial" w:cs="Arial"/>
          <w:sz w:val="24"/>
          <w:szCs w:val="24"/>
        </w:rPr>
      </w:pPr>
      <w:r>
        <w:rPr>
          <w:rFonts w:ascii="Arial" w:hAnsi="Arial" w:cs="Arial"/>
          <w:sz w:val="24"/>
          <w:szCs w:val="24"/>
        </w:rPr>
        <w:br w:type="page"/>
      </w:r>
    </w:p>
    <w:p w14:paraId="106F1B0C" w14:textId="77777777" w:rsidR="00154B42" w:rsidRPr="00CF2922" w:rsidRDefault="00154B42" w:rsidP="00154B42">
      <w:pPr>
        <w:shd w:val="clear" w:color="auto" w:fill="FFFFFF"/>
        <w:autoSpaceDE w:val="0"/>
        <w:autoSpaceDN w:val="0"/>
        <w:adjustRightInd w:val="0"/>
        <w:ind w:right="3"/>
        <w:jc w:val="center"/>
        <w:rPr>
          <w:rFonts w:ascii="Arial" w:hAnsi="Arial" w:cs="Arial"/>
          <w:b/>
          <w:sz w:val="32"/>
          <w:szCs w:val="32"/>
        </w:rPr>
      </w:pPr>
      <w:r w:rsidRPr="00CF2922">
        <w:rPr>
          <w:rFonts w:ascii="Arial" w:hAnsi="Arial" w:cs="Arial"/>
          <w:b/>
          <w:sz w:val="32"/>
          <w:szCs w:val="32"/>
        </w:rPr>
        <w:lastRenderedPageBreak/>
        <w:t>SEA Determination</w:t>
      </w:r>
    </w:p>
    <w:p w14:paraId="27A76E3D" w14:textId="77777777" w:rsidR="00154B42" w:rsidRPr="00200800" w:rsidRDefault="00154B42" w:rsidP="00154B42">
      <w:pPr>
        <w:jc w:val="center"/>
        <w:rPr>
          <w:rFonts w:ascii="Arial" w:hAnsi="Arial" w:cs="Arial"/>
          <w:b/>
          <w:lang w:eastAsia="en-IE"/>
        </w:rPr>
      </w:pPr>
      <w:r w:rsidRPr="00200800">
        <w:rPr>
          <w:rFonts w:ascii="Arial" w:hAnsi="Arial" w:cs="Arial"/>
          <w:b/>
          <w:lang w:eastAsia="en-IE"/>
        </w:rPr>
        <w:t xml:space="preserve">Strategic Environmental Assessment (SEA) Screening Determination </w:t>
      </w:r>
      <w:r>
        <w:rPr>
          <w:rFonts w:ascii="Arial" w:hAnsi="Arial" w:cs="Arial"/>
          <w:b/>
          <w:lang w:eastAsia="en-IE"/>
        </w:rPr>
        <w:t>U</w:t>
      </w:r>
      <w:r w:rsidRPr="00200800">
        <w:rPr>
          <w:rFonts w:ascii="Arial" w:hAnsi="Arial" w:cs="Arial"/>
          <w:b/>
          <w:lang w:eastAsia="en-IE"/>
        </w:rPr>
        <w:t>nder:</w:t>
      </w:r>
    </w:p>
    <w:p w14:paraId="5D3CD880" w14:textId="77777777" w:rsidR="00154B42" w:rsidRDefault="00154B42" w:rsidP="00154B42">
      <w:pPr>
        <w:jc w:val="center"/>
        <w:rPr>
          <w:rFonts w:ascii="Arial" w:hAnsi="Arial" w:cs="Arial"/>
          <w:b/>
          <w:lang w:eastAsia="en-IE"/>
        </w:rPr>
      </w:pPr>
      <w:r w:rsidRPr="001C00AB">
        <w:rPr>
          <w:rFonts w:ascii="Arial" w:hAnsi="Arial" w:cs="Arial"/>
          <w:b/>
        </w:rPr>
        <w:t>SEA Directive 2001/42/EC</w:t>
      </w:r>
      <w:r>
        <w:rPr>
          <w:rFonts w:ascii="Arial" w:hAnsi="Arial" w:cs="Arial"/>
          <w:b/>
        </w:rPr>
        <w:t xml:space="preserve"> and</w:t>
      </w:r>
    </w:p>
    <w:p w14:paraId="024A8523" w14:textId="77777777" w:rsidR="00154B42" w:rsidRPr="00200800" w:rsidRDefault="00154B42" w:rsidP="00154B42">
      <w:pPr>
        <w:jc w:val="center"/>
        <w:rPr>
          <w:rFonts w:ascii="Arial" w:hAnsi="Arial" w:cs="Arial"/>
          <w:b/>
          <w:lang w:eastAsia="en-IE"/>
        </w:rPr>
      </w:pPr>
      <w:r w:rsidRPr="00200800">
        <w:rPr>
          <w:rFonts w:ascii="Arial" w:hAnsi="Arial" w:cs="Arial"/>
          <w:b/>
          <w:lang w:eastAsia="en-IE"/>
        </w:rPr>
        <w:t>Planning and Development (Strategic Environmental Assessment) Regulations 2004 (SI No.436 of 2004)</w:t>
      </w:r>
      <w:r>
        <w:rPr>
          <w:rFonts w:ascii="Arial" w:hAnsi="Arial" w:cs="Arial"/>
          <w:b/>
          <w:lang w:eastAsia="en-IE"/>
        </w:rPr>
        <w:t>,</w:t>
      </w:r>
      <w:r w:rsidRPr="00200800">
        <w:rPr>
          <w:rFonts w:ascii="Arial" w:hAnsi="Arial" w:cs="Arial"/>
          <w:b/>
          <w:lang w:eastAsia="en-IE"/>
        </w:rPr>
        <w:t xml:space="preserve"> as amended by</w:t>
      </w:r>
    </w:p>
    <w:p w14:paraId="7FE252FF" w14:textId="77777777" w:rsidR="00154B42" w:rsidRPr="00200800" w:rsidRDefault="00154B42" w:rsidP="00154B42">
      <w:pPr>
        <w:jc w:val="center"/>
        <w:rPr>
          <w:rFonts w:ascii="Arial" w:hAnsi="Arial" w:cs="Arial"/>
          <w:b/>
          <w:lang w:eastAsia="en-IE"/>
        </w:rPr>
      </w:pPr>
      <w:proofErr w:type="gramStart"/>
      <w:r w:rsidRPr="00200800">
        <w:rPr>
          <w:rFonts w:ascii="Arial" w:hAnsi="Arial" w:cs="Arial"/>
          <w:b/>
          <w:lang w:eastAsia="en-IE"/>
        </w:rPr>
        <w:t>the</w:t>
      </w:r>
      <w:proofErr w:type="gramEnd"/>
      <w:r w:rsidRPr="00200800">
        <w:rPr>
          <w:rFonts w:ascii="Arial" w:hAnsi="Arial" w:cs="Arial"/>
          <w:b/>
          <w:lang w:eastAsia="en-IE"/>
        </w:rPr>
        <w:t xml:space="preserve"> Planning and Development (Strategic Environmental</w:t>
      </w:r>
    </w:p>
    <w:p w14:paraId="28970530" w14:textId="77777777" w:rsidR="00154B42" w:rsidRPr="00200800" w:rsidRDefault="00154B42" w:rsidP="00154B42">
      <w:pPr>
        <w:jc w:val="center"/>
        <w:rPr>
          <w:rFonts w:ascii="Arial" w:hAnsi="Arial" w:cs="Arial"/>
          <w:b/>
          <w:lang w:eastAsia="en-IE"/>
        </w:rPr>
      </w:pPr>
      <w:r w:rsidRPr="00200800">
        <w:rPr>
          <w:rFonts w:ascii="Arial" w:hAnsi="Arial" w:cs="Arial"/>
          <w:b/>
          <w:lang w:eastAsia="en-IE"/>
        </w:rPr>
        <w:t>Assessment) (Amendment) Regulations 2011 (SI No. 201 of 2011)</w:t>
      </w:r>
    </w:p>
    <w:p w14:paraId="44AED948" w14:textId="77777777" w:rsidR="00154B42" w:rsidRPr="00200800" w:rsidRDefault="00154B42" w:rsidP="00154B42">
      <w:pPr>
        <w:jc w:val="center"/>
        <w:rPr>
          <w:rFonts w:ascii="Arial" w:hAnsi="Arial" w:cs="Arial"/>
          <w:b/>
          <w:lang w:eastAsia="en-IE"/>
        </w:rPr>
      </w:pPr>
      <w:r w:rsidRPr="00200800">
        <w:rPr>
          <w:rFonts w:ascii="Arial" w:hAnsi="Arial" w:cs="Arial"/>
          <w:b/>
          <w:lang w:eastAsia="en-IE"/>
        </w:rPr>
        <w:t>For:</w:t>
      </w:r>
    </w:p>
    <w:p w14:paraId="5CB85FFE" w14:textId="25A0FE3B" w:rsidR="00154B42" w:rsidRDefault="00154B42" w:rsidP="00154B42">
      <w:pPr>
        <w:spacing w:line="276" w:lineRule="auto"/>
        <w:rPr>
          <w:rFonts w:ascii="Arial" w:hAnsi="Arial" w:cs="Arial"/>
          <w:b/>
        </w:rPr>
      </w:pPr>
      <w:r w:rsidRPr="00200800">
        <w:rPr>
          <w:rFonts w:ascii="Arial" w:hAnsi="Arial" w:cs="Arial"/>
          <w:b/>
        </w:rPr>
        <w:t xml:space="preserve">PROPOSED </w:t>
      </w:r>
      <w:r>
        <w:rPr>
          <w:rFonts w:ascii="Arial" w:hAnsi="Arial" w:cs="Arial"/>
          <w:b/>
        </w:rPr>
        <w:t>VARIATION NO. 5</w:t>
      </w:r>
      <w:r w:rsidRPr="00200800">
        <w:rPr>
          <w:rFonts w:ascii="Arial" w:hAnsi="Arial" w:cs="Arial"/>
          <w:b/>
        </w:rPr>
        <w:t xml:space="preserve"> OF THE DUBLIN CITY DEVELOPMENT PLAN 2022 – 2028</w:t>
      </w:r>
      <w:r>
        <w:rPr>
          <w:rFonts w:ascii="Arial" w:hAnsi="Arial" w:cs="Arial"/>
          <w:b/>
        </w:rPr>
        <w:t xml:space="preserve"> </w:t>
      </w:r>
    </w:p>
    <w:p w14:paraId="58F525E8" w14:textId="3B79BE15" w:rsidR="00154B42" w:rsidRPr="007A60D3" w:rsidRDefault="00154B42" w:rsidP="00154B42">
      <w:pPr>
        <w:rPr>
          <w:rFonts w:ascii="Arial" w:hAnsi="Arial" w:cs="Arial"/>
        </w:rPr>
      </w:pPr>
      <w:r w:rsidRPr="007A60D3">
        <w:rPr>
          <w:rFonts w:ascii="Arial" w:hAnsi="Arial" w:cs="Arial"/>
        </w:rPr>
        <w:t xml:space="preserve">This determination has been made by Dublin City Council relating to the potential for </w:t>
      </w:r>
      <w:r>
        <w:rPr>
          <w:rFonts w:ascii="Arial" w:hAnsi="Arial" w:cs="Arial"/>
        </w:rPr>
        <w:t>Proposed Variation No. 5</w:t>
      </w:r>
      <w:r w:rsidRPr="007A60D3">
        <w:rPr>
          <w:rFonts w:ascii="Arial" w:hAnsi="Arial" w:cs="Arial"/>
        </w:rPr>
        <w:t xml:space="preserve"> to have likely significant effects on the environment.</w:t>
      </w:r>
    </w:p>
    <w:p w14:paraId="7BF6316E" w14:textId="23177170" w:rsidR="00154B42" w:rsidRPr="007A60D3" w:rsidRDefault="00154B42" w:rsidP="00154B42">
      <w:pPr>
        <w:rPr>
          <w:rFonts w:ascii="Arial" w:hAnsi="Arial" w:cs="Arial"/>
        </w:rPr>
      </w:pPr>
      <w:r w:rsidRPr="007A60D3">
        <w:rPr>
          <w:rFonts w:ascii="Arial" w:hAnsi="Arial" w:cs="Arial"/>
        </w:rPr>
        <w:t xml:space="preserve">This determination has been made following consideration of </w:t>
      </w:r>
      <w:r>
        <w:rPr>
          <w:rFonts w:ascii="Arial" w:hAnsi="Arial" w:cs="Arial"/>
        </w:rPr>
        <w:t>proposed Variation No. 5 (relating to Build-To-Rent)</w:t>
      </w:r>
      <w:r w:rsidRPr="007A60D3">
        <w:rPr>
          <w:rFonts w:ascii="Arial" w:hAnsi="Arial" w:cs="Arial"/>
        </w:rPr>
        <w:t xml:space="preserve">, the information contained in the SEA Screening Report, criteria set out in </w:t>
      </w:r>
      <w:r w:rsidRPr="007A60D3">
        <w:rPr>
          <w:rFonts w:ascii="Arial" w:hAnsi="Arial" w:cs="Arial"/>
          <w:bCs/>
        </w:rPr>
        <w:t>Schedule 2A of the Planning and Development Regulations 2001, as amended</w:t>
      </w:r>
      <w:r w:rsidRPr="007A60D3">
        <w:rPr>
          <w:rFonts w:ascii="Arial" w:hAnsi="Arial" w:cs="Arial"/>
        </w:rPr>
        <w:t>, consideration of the Appropriate Assessment (AA) Screening Conclusion (se</w:t>
      </w:r>
      <w:r w:rsidR="00EF6BC2">
        <w:rPr>
          <w:rFonts w:ascii="Arial" w:hAnsi="Arial" w:cs="Arial"/>
        </w:rPr>
        <w:t>e separate AA Screening Report).</w:t>
      </w:r>
    </w:p>
    <w:p w14:paraId="7BEC9384" w14:textId="77777777" w:rsidR="00154B42" w:rsidRPr="007A60D3" w:rsidRDefault="00154B42" w:rsidP="00154B42">
      <w:pPr>
        <w:rPr>
          <w:rFonts w:ascii="Arial" w:hAnsi="Arial" w:cs="Arial"/>
        </w:rPr>
      </w:pPr>
      <w:r w:rsidRPr="007A60D3">
        <w:rPr>
          <w:rFonts w:ascii="Arial" w:hAnsi="Arial" w:cs="Arial"/>
        </w:rPr>
        <w:t xml:space="preserve">Following an analysis and evaluation of the relevant information, including the nature of the proposed variation and its potential for effects on the environment that could result from the implementation of the variation, it is considered that that the proposed variation would not be likely to have significant effects on the environment.  </w:t>
      </w:r>
    </w:p>
    <w:p w14:paraId="567ABFFA" w14:textId="77777777" w:rsidR="001947C8" w:rsidRDefault="00154B42" w:rsidP="00154B42">
      <w:pPr>
        <w:jc w:val="both"/>
        <w:rPr>
          <w:rFonts w:ascii="Arial" w:hAnsi="Arial" w:cs="Arial"/>
        </w:rPr>
      </w:pPr>
      <w:r w:rsidRPr="007A60D3">
        <w:rPr>
          <w:rFonts w:ascii="Arial" w:hAnsi="Arial" w:cs="Arial"/>
        </w:rPr>
        <w:t>I hereby recommend that a determination for the need for a Strategic Environmental Assessment be made for the purposes of the SEA Directive 2001/42/EC and the Planning and Development (Strategic Environmental Assessment) Regulations 2004 /2011</w:t>
      </w:r>
      <w:r w:rsidRPr="009C608B">
        <w:rPr>
          <w:rFonts w:ascii="Arial" w:hAnsi="Arial" w:cs="Arial"/>
          <w:b/>
        </w:rPr>
        <w:t xml:space="preserve">, that SEA is not required for the Proposed </w:t>
      </w:r>
      <w:r w:rsidR="00540416" w:rsidRPr="009C608B">
        <w:rPr>
          <w:rFonts w:ascii="Arial" w:hAnsi="Arial" w:cs="Arial"/>
          <w:b/>
        </w:rPr>
        <w:t>Variation No. 5</w:t>
      </w:r>
      <w:r w:rsidRPr="009C608B">
        <w:rPr>
          <w:rFonts w:ascii="Arial" w:hAnsi="Arial" w:cs="Arial"/>
          <w:b/>
        </w:rPr>
        <w:t xml:space="preserve"> of the Dublin City Development Plan 2022 - 2028</w:t>
      </w:r>
      <w:r w:rsidRPr="007A60D3">
        <w:rPr>
          <w:rFonts w:ascii="Arial" w:hAnsi="Arial" w:cs="Arial"/>
        </w:rPr>
        <w:t xml:space="preserve">.  </w:t>
      </w:r>
    </w:p>
    <w:p w14:paraId="58126BAF" w14:textId="77777777" w:rsidR="00635F2B" w:rsidRDefault="00154B42" w:rsidP="00F53AC8">
      <w:pPr>
        <w:jc w:val="both"/>
        <w:rPr>
          <w:rFonts w:ascii="Arial" w:hAnsi="Arial" w:cs="Arial"/>
        </w:rPr>
      </w:pPr>
      <w:r w:rsidRPr="007A60D3">
        <w:rPr>
          <w:rFonts w:ascii="Arial" w:hAnsi="Arial" w:cs="Arial"/>
        </w:rPr>
        <w:t xml:space="preserve"> </w:t>
      </w:r>
      <w:r w:rsidR="00635F2B" w:rsidRPr="00427102">
        <w:rPr>
          <w:noProof/>
          <w:lang w:eastAsia="en-IE"/>
        </w:rPr>
        <w:drawing>
          <wp:inline distT="0" distB="0" distL="0" distR="0" wp14:anchorId="1910E29D" wp14:editId="18069AE0">
            <wp:extent cx="1457096" cy="509200"/>
            <wp:effectExtent l="0" t="0" r="0" b="5715"/>
            <wp:docPr id="2" name="Picture 2" descr="Deirdre Scu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irdre Scul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3033" cy="518264"/>
                    </a:xfrm>
                    <a:prstGeom prst="rect">
                      <a:avLst/>
                    </a:prstGeom>
                    <a:noFill/>
                    <a:ln>
                      <a:noFill/>
                    </a:ln>
                  </pic:spPr>
                </pic:pic>
              </a:graphicData>
            </a:graphic>
          </wp:inline>
        </w:drawing>
      </w:r>
      <w:r w:rsidRPr="007A60D3">
        <w:rPr>
          <w:rFonts w:ascii="Arial" w:hAnsi="Arial" w:cs="Arial"/>
        </w:rPr>
        <w:t xml:space="preserve"> </w:t>
      </w:r>
    </w:p>
    <w:p w14:paraId="0E0F8439" w14:textId="00A73E0C" w:rsidR="00F53AC8" w:rsidRPr="00635F2B" w:rsidRDefault="00F53AC8" w:rsidP="00F53AC8">
      <w:pPr>
        <w:jc w:val="both"/>
        <w:rPr>
          <w:rFonts w:ascii="Arial" w:hAnsi="Arial" w:cs="Arial"/>
        </w:rPr>
      </w:pPr>
      <w:r w:rsidRPr="00F53AC8">
        <w:rPr>
          <w:rFonts w:ascii="Arial" w:hAnsi="Arial" w:cs="Arial"/>
          <w:sz w:val="24"/>
          <w:szCs w:val="24"/>
          <w:lang w:val="en-GB"/>
        </w:rPr>
        <w:t>___________</w:t>
      </w:r>
      <w:r w:rsidR="00635F2B">
        <w:rPr>
          <w:rFonts w:ascii="Arial" w:hAnsi="Arial" w:cs="Arial"/>
          <w:sz w:val="24"/>
          <w:szCs w:val="24"/>
          <w:lang w:val="en-GB"/>
        </w:rPr>
        <w:t>______</w:t>
      </w:r>
    </w:p>
    <w:p w14:paraId="05EE36C6" w14:textId="77777777" w:rsidR="00120A8E" w:rsidRDefault="00F53AC8" w:rsidP="00120A8E">
      <w:pPr>
        <w:jc w:val="both"/>
        <w:outlineLvl w:val="0"/>
        <w:rPr>
          <w:rFonts w:ascii="Arial" w:hAnsi="Arial" w:cs="Arial"/>
          <w:sz w:val="24"/>
          <w:szCs w:val="24"/>
          <w:lang w:val="en-GB"/>
        </w:rPr>
      </w:pPr>
      <w:r w:rsidRPr="00F53AC8">
        <w:rPr>
          <w:rFonts w:ascii="Arial" w:hAnsi="Arial" w:cs="Arial"/>
          <w:sz w:val="24"/>
          <w:szCs w:val="24"/>
          <w:lang w:val="en-GB"/>
        </w:rPr>
        <w:t xml:space="preserve">Deirdre Scully </w:t>
      </w:r>
    </w:p>
    <w:p w14:paraId="12743454" w14:textId="326C75C1" w:rsidR="00F53AC8" w:rsidRPr="00F53AC8" w:rsidRDefault="00F53AC8" w:rsidP="00120A8E">
      <w:pPr>
        <w:jc w:val="both"/>
        <w:outlineLvl w:val="0"/>
        <w:rPr>
          <w:rFonts w:ascii="Arial" w:hAnsi="Arial" w:cs="Arial"/>
          <w:sz w:val="24"/>
          <w:szCs w:val="24"/>
          <w:lang w:val="en-GB"/>
        </w:rPr>
      </w:pPr>
      <w:r w:rsidRPr="00F53AC8">
        <w:rPr>
          <w:rFonts w:ascii="Arial" w:hAnsi="Arial" w:cs="Arial"/>
          <w:sz w:val="24"/>
          <w:szCs w:val="24"/>
          <w:lang w:val="en-GB"/>
        </w:rPr>
        <w:t xml:space="preserve">City Planning Officer </w:t>
      </w:r>
    </w:p>
    <w:p w14:paraId="4963093A" w14:textId="164B1842" w:rsidR="00F53AC8" w:rsidRPr="00F53AC8" w:rsidRDefault="00F53AC8" w:rsidP="00F53AC8">
      <w:pPr>
        <w:spacing w:line="276" w:lineRule="auto"/>
        <w:rPr>
          <w:rFonts w:ascii="Arial" w:hAnsi="Arial" w:cs="Arial"/>
          <w:sz w:val="24"/>
          <w:szCs w:val="24"/>
          <w:lang w:val="en-GB"/>
        </w:rPr>
      </w:pPr>
      <w:r w:rsidRPr="00F53AC8">
        <w:rPr>
          <w:rFonts w:ascii="Arial" w:hAnsi="Arial" w:cs="Arial"/>
          <w:sz w:val="24"/>
          <w:szCs w:val="24"/>
          <w:lang w:val="en-GB"/>
        </w:rPr>
        <w:t xml:space="preserve">Date: </w:t>
      </w:r>
      <w:r w:rsidR="00495CE2">
        <w:rPr>
          <w:rFonts w:ascii="Arial" w:hAnsi="Arial" w:cs="Arial"/>
          <w:sz w:val="24"/>
          <w:szCs w:val="24"/>
          <w:lang w:val="en-GB"/>
        </w:rPr>
        <w:t>31.10</w:t>
      </w:r>
      <w:r w:rsidR="00120A8E">
        <w:rPr>
          <w:rFonts w:ascii="Arial" w:hAnsi="Arial" w:cs="Arial"/>
          <w:sz w:val="24"/>
          <w:szCs w:val="24"/>
          <w:lang w:val="en-GB"/>
        </w:rPr>
        <w:t>.23</w:t>
      </w:r>
    </w:p>
    <w:p w14:paraId="7765DA52" w14:textId="77777777" w:rsidR="00F53AC8" w:rsidRPr="004657B7" w:rsidRDefault="00F53AC8" w:rsidP="00F53AC8">
      <w:pPr>
        <w:spacing w:line="276" w:lineRule="auto"/>
        <w:rPr>
          <w:rFonts w:ascii="Arial" w:hAnsi="Arial" w:cs="Arial"/>
          <w:lang w:val="en-GB"/>
        </w:rPr>
      </w:pPr>
    </w:p>
    <w:p w14:paraId="19757D58" w14:textId="61A572A7" w:rsidR="005D4329" w:rsidRDefault="005D4329">
      <w:pPr>
        <w:rPr>
          <w:rFonts w:ascii="Arial" w:eastAsia="Times New Roman" w:hAnsi="Arial" w:cs="Arial"/>
          <w:lang w:val="en-GB"/>
        </w:rPr>
      </w:pPr>
      <w:r>
        <w:rPr>
          <w:rFonts w:ascii="Arial" w:eastAsia="Times New Roman" w:hAnsi="Arial" w:cs="Arial"/>
          <w:lang w:val="en-GB"/>
        </w:rPr>
        <w:br w:type="page"/>
      </w:r>
    </w:p>
    <w:p w14:paraId="232C541A" w14:textId="3F657817" w:rsidR="00FE5FD3" w:rsidRPr="005D4329" w:rsidRDefault="005D4329" w:rsidP="00FE5FD3">
      <w:pPr>
        <w:spacing w:after="0" w:line="240" w:lineRule="auto"/>
        <w:jc w:val="both"/>
        <w:rPr>
          <w:rFonts w:ascii="Arial" w:eastAsia="Times New Roman" w:hAnsi="Arial" w:cs="Arial"/>
          <w:b/>
          <w:sz w:val="40"/>
          <w:szCs w:val="40"/>
          <w:lang w:val="en-GB"/>
        </w:rPr>
      </w:pPr>
      <w:r w:rsidRPr="005D4329">
        <w:rPr>
          <w:rFonts w:ascii="Arial" w:eastAsia="Times New Roman" w:hAnsi="Arial" w:cs="Arial"/>
          <w:b/>
          <w:sz w:val="40"/>
          <w:szCs w:val="40"/>
          <w:lang w:val="en-GB"/>
        </w:rPr>
        <w:lastRenderedPageBreak/>
        <w:t>Appendix 1</w:t>
      </w:r>
    </w:p>
    <w:p w14:paraId="32BCE35F" w14:textId="136B8543" w:rsidR="005D4329" w:rsidRDefault="005D4329" w:rsidP="00FE5FD3">
      <w:pPr>
        <w:spacing w:after="0" w:line="240" w:lineRule="auto"/>
        <w:jc w:val="both"/>
        <w:rPr>
          <w:rFonts w:ascii="Arial" w:eastAsia="Times New Roman" w:hAnsi="Arial" w:cs="Arial"/>
          <w:lang w:val="en-GB"/>
        </w:rPr>
      </w:pPr>
    </w:p>
    <w:p w14:paraId="270BA7DD" w14:textId="40921F71" w:rsidR="005D4329" w:rsidRDefault="005D4329" w:rsidP="005D4329">
      <w:pPr>
        <w:jc w:val="both"/>
        <w:rPr>
          <w:rFonts w:ascii="Arial" w:hAnsi="Arial" w:cs="Arial"/>
          <w:b/>
          <w:sz w:val="28"/>
          <w:szCs w:val="28"/>
        </w:rPr>
      </w:pPr>
      <w:r>
        <w:rPr>
          <w:rFonts w:ascii="Arial" w:hAnsi="Arial" w:cs="Arial"/>
          <w:b/>
          <w:sz w:val="28"/>
          <w:szCs w:val="28"/>
        </w:rPr>
        <w:t>Proposed Variation No. 5 of the Dublin City Development Plan 2022 - 2028</w:t>
      </w:r>
    </w:p>
    <w:p w14:paraId="05338648" w14:textId="77777777" w:rsidR="005D4329" w:rsidRDefault="005D4329" w:rsidP="005D4329">
      <w:pPr>
        <w:pBdr>
          <w:bottom w:val="single" w:sz="12" w:space="1" w:color="auto"/>
        </w:pBdr>
        <w:spacing w:line="240" w:lineRule="auto"/>
        <w:jc w:val="both"/>
        <w:rPr>
          <w:rFonts w:ascii="Arial" w:hAnsi="Arial" w:cs="Arial"/>
          <w:b/>
          <w:sz w:val="32"/>
          <w:szCs w:val="32"/>
        </w:rPr>
      </w:pPr>
    </w:p>
    <w:p w14:paraId="24B32617" w14:textId="77777777" w:rsidR="005D4329" w:rsidRPr="00C530A6" w:rsidRDefault="005D4329" w:rsidP="005D4329">
      <w:pPr>
        <w:pBdr>
          <w:bottom w:val="single" w:sz="12" w:space="1" w:color="auto"/>
        </w:pBdr>
        <w:spacing w:line="240" w:lineRule="auto"/>
        <w:jc w:val="both"/>
        <w:rPr>
          <w:rFonts w:ascii="Arial" w:hAnsi="Arial" w:cs="Arial"/>
          <w:b/>
          <w:sz w:val="32"/>
          <w:szCs w:val="32"/>
        </w:rPr>
      </w:pPr>
      <w:r w:rsidRPr="00C530A6">
        <w:rPr>
          <w:rFonts w:ascii="Arial" w:hAnsi="Arial" w:cs="Arial"/>
          <w:b/>
          <w:sz w:val="32"/>
          <w:szCs w:val="32"/>
        </w:rPr>
        <w:t xml:space="preserve">PART A - </w:t>
      </w:r>
      <w:r>
        <w:rPr>
          <w:rFonts w:ascii="Arial" w:hAnsi="Arial" w:cs="Arial"/>
          <w:b/>
          <w:bCs/>
          <w:sz w:val="32"/>
          <w:szCs w:val="32"/>
        </w:rPr>
        <w:t>T</w:t>
      </w:r>
      <w:r w:rsidRPr="00C530A6">
        <w:rPr>
          <w:rFonts w:ascii="Arial" w:hAnsi="Arial" w:cs="Arial"/>
          <w:b/>
          <w:bCs/>
          <w:sz w:val="32"/>
          <w:szCs w:val="32"/>
        </w:rPr>
        <w:t>echnical update to the 2022 – 2028 Dublin City Development Plan in relation to ‘Build-To-Rent’ accommodation</w:t>
      </w:r>
    </w:p>
    <w:p w14:paraId="07C90119" w14:textId="77777777" w:rsidR="005D4329" w:rsidRDefault="005D4329" w:rsidP="005D4329">
      <w:pPr>
        <w:jc w:val="both"/>
        <w:rPr>
          <w:rFonts w:ascii="Arial" w:hAnsi="Arial" w:cs="Arial"/>
          <w:b/>
          <w:sz w:val="28"/>
          <w:szCs w:val="28"/>
        </w:rPr>
      </w:pPr>
    </w:p>
    <w:p w14:paraId="453BCD29" w14:textId="77777777" w:rsidR="005D4329" w:rsidRPr="00021723" w:rsidRDefault="005D4329" w:rsidP="005D4329">
      <w:pPr>
        <w:spacing w:line="240" w:lineRule="auto"/>
        <w:jc w:val="both"/>
        <w:rPr>
          <w:rFonts w:ascii="Arial" w:hAnsi="Arial" w:cs="Arial"/>
          <w:b/>
          <w:sz w:val="28"/>
          <w:szCs w:val="28"/>
        </w:rPr>
      </w:pPr>
      <w:r w:rsidRPr="00021723">
        <w:rPr>
          <w:rFonts w:ascii="Arial" w:hAnsi="Arial" w:cs="Arial"/>
          <w:b/>
          <w:sz w:val="28"/>
          <w:szCs w:val="28"/>
        </w:rPr>
        <w:t>Table of Contents</w:t>
      </w:r>
    </w:p>
    <w:p w14:paraId="223A76C3" w14:textId="77777777" w:rsidR="005D4329" w:rsidRPr="00F659AD" w:rsidRDefault="005D4329" w:rsidP="005D4329">
      <w:pPr>
        <w:spacing w:after="0" w:line="240" w:lineRule="auto"/>
        <w:jc w:val="both"/>
        <w:rPr>
          <w:rFonts w:ascii="Arial" w:hAnsi="Arial" w:cs="Arial"/>
          <w:b/>
          <w:bCs/>
          <w:sz w:val="24"/>
          <w:szCs w:val="24"/>
        </w:rPr>
      </w:pPr>
      <w:r w:rsidRPr="00F659AD">
        <w:rPr>
          <w:rFonts w:ascii="Arial" w:hAnsi="Arial" w:cs="Arial"/>
          <w:b/>
          <w:bCs/>
          <w:sz w:val="24"/>
          <w:szCs w:val="24"/>
        </w:rPr>
        <w:t>Chapter 15: Development Standards</w:t>
      </w:r>
    </w:p>
    <w:p w14:paraId="37EADAA7" w14:textId="77777777" w:rsidR="005D4329" w:rsidRPr="00F659AD" w:rsidRDefault="005D4329" w:rsidP="005D4329">
      <w:pPr>
        <w:spacing w:after="0" w:line="240" w:lineRule="auto"/>
        <w:jc w:val="both"/>
        <w:rPr>
          <w:rFonts w:ascii="Arial" w:hAnsi="Arial" w:cs="Arial"/>
          <w:b/>
          <w:bCs/>
          <w:sz w:val="24"/>
          <w:szCs w:val="24"/>
        </w:rPr>
      </w:pPr>
      <w:r w:rsidRPr="00F659AD">
        <w:rPr>
          <w:rFonts w:ascii="Arial" w:hAnsi="Arial" w:cs="Arial"/>
          <w:b/>
          <w:bCs/>
          <w:sz w:val="24"/>
          <w:szCs w:val="24"/>
        </w:rPr>
        <w:t>15.10 Build to</w:t>
      </w:r>
      <w:r>
        <w:rPr>
          <w:rFonts w:ascii="Arial" w:hAnsi="Arial" w:cs="Arial"/>
          <w:b/>
          <w:bCs/>
          <w:sz w:val="24"/>
          <w:szCs w:val="24"/>
        </w:rPr>
        <w:t xml:space="preserve"> Rent Residential Development (B</w:t>
      </w:r>
      <w:r w:rsidRPr="00F659AD">
        <w:rPr>
          <w:rFonts w:ascii="Arial" w:hAnsi="Arial" w:cs="Arial"/>
          <w:b/>
          <w:bCs/>
          <w:sz w:val="24"/>
          <w:szCs w:val="24"/>
        </w:rPr>
        <w:t>TR)</w:t>
      </w:r>
    </w:p>
    <w:p w14:paraId="47D2FAE8" w14:textId="77777777" w:rsidR="005D4329" w:rsidRDefault="005D4329" w:rsidP="005D4329">
      <w:pPr>
        <w:rPr>
          <w:rFonts w:ascii="Arial" w:hAnsi="Arial" w:cs="Arial"/>
          <w:sz w:val="24"/>
          <w:szCs w:val="24"/>
        </w:rPr>
      </w:pPr>
    </w:p>
    <w:p w14:paraId="03F05FA4" w14:textId="77777777" w:rsidR="005D4329" w:rsidRDefault="005D4329" w:rsidP="005D4329">
      <w:pPr>
        <w:jc w:val="both"/>
        <w:rPr>
          <w:rFonts w:ascii="Arial" w:hAnsi="Arial" w:cs="Arial"/>
          <w:bCs/>
          <w:sz w:val="24"/>
          <w:szCs w:val="24"/>
        </w:rPr>
      </w:pPr>
      <w:r w:rsidRPr="00360BE7">
        <w:rPr>
          <w:rFonts w:ascii="Arial" w:hAnsi="Arial" w:cs="Arial"/>
          <w:bCs/>
          <w:sz w:val="24"/>
          <w:szCs w:val="24"/>
          <w:highlight w:val="yellow"/>
        </w:rPr>
        <w:t>Proposed Amendment Reference No. 1</w:t>
      </w:r>
    </w:p>
    <w:p w14:paraId="3791C363" w14:textId="77777777" w:rsidR="005D4329" w:rsidRPr="0068139A" w:rsidRDefault="005D4329" w:rsidP="005D4329">
      <w:pPr>
        <w:rPr>
          <w:rFonts w:ascii="Arial" w:hAnsi="Arial" w:cs="Arial"/>
          <w:sz w:val="24"/>
          <w:szCs w:val="24"/>
        </w:rPr>
      </w:pPr>
      <w:r>
        <w:rPr>
          <w:rFonts w:ascii="Arial" w:hAnsi="Arial" w:cs="Arial"/>
          <w:sz w:val="24"/>
          <w:szCs w:val="24"/>
        </w:rPr>
        <w:t>Delete</w:t>
      </w:r>
      <w:r w:rsidRPr="0068139A">
        <w:rPr>
          <w:rFonts w:ascii="Arial" w:hAnsi="Arial" w:cs="Arial"/>
          <w:sz w:val="24"/>
          <w:szCs w:val="24"/>
        </w:rPr>
        <w:t xml:space="preserve"> the following</w:t>
      </w:r>
      <w:r>
        <w:rPr>
          <w:rFonts w:ascii="Arial" w:hAnsi="Arial" w:cs="Arial"/>
          <w:sz w:val="24"/>
          <w:szCs w:val="24"/>
        </w:rPr>
        <w:t xml:space="preserve"> from the Table of Contents:</w:t>
      </w:r>
      <w:r w:rsidRPr="0068139A">
        <w:rPr>
          <w:rFonts w:ascii="Arial" w:hAnsi="Arial" w:cs="Arial"/>
          <w:sz w:val="24"/>
          <w:szCs w:val="24"/>
        </w:rPr>
        <w:t xml:space="preserve"> </w:t>
      </w:r>
    </w:p>
    <w:p w14:paraId="6E017844" w14:textId="77777777" w:rsidR="005D4329" w:rsidRPr="0068139A" w:rsidRDefault="005D4329" w:rsidP="005D4329">
      <w:pPr>
        <w:jc w:val="both"/>
        <w:rPr>
          <w:rFonts w:ascii="Arial" w:hAnsi="Arial" w:cs="Arial"/>
          <w:bCs/>
          <w:i/>
          <w:strike/>
          <w:sz w:val="24"/>
          <w:szCs w:val="24"/>
        </w:rPr>
      </w:pPr>
      <w:proofErr w:type="gramStart"/>
      <w:r w:rsidRPr="0068139A">
        <w:rPr>
          <w:rFonts w:ascii="Arial" w:hAnsi="Arial" w:cs="Arial"/>
          <w:bCs/>
          <w:i/>
          <w:strike/>
          <w:sz w:val="24"/>
          <w:szCs w:val="24"/>
        </w:rPr>
        <w:t>15.10  Build</w:t>
      </w:r>
      <w:proofErr w:type="gramEnd"/>
      <w:r w:rsidRPr="0068139A">
        <w:rPr>
          <w:rFonts w:ascii="Arial" w:hAnsi="Arial" w:cs="Arial"/>
          <w:bCs/>
          <w:i/>
          <w:strike/>
          <w:sz w:val="24"/>
          <w:szCs w:val="24"/>
        </w:rPr>
        <w:t xml:space="preserve"> to</w:t>
      </w:r>
      <w:r>
        <w:rPr>
          <w:rFonts w:ascii="Arial" w:hAnsi="Arial" w:cs="Arial"/>
          <w:bCs/>
          <w:i/>
          <w:strike/>
          <w:sz w:val="24"/>
          <w:szCs w:val="24"/>
        </w:rPr>
        <w:t xml:space="preserve"> Rent Residential Development (B</w:t>
      </w:r>
      <w:r w:rsidRPr="0068139A">
        <w:rPr>
          <w:rFonts w:ascii="Arial" w:hAnsi="Arial" w:cs="Arial"/>
          <w:bCs/>
          <w:i/>
          <w:strike/>
          <w:sz w:val="24"/>
          <w:szCs w:val="24"/>
        </w:rPr>
        <w:t>TR)</w:t>
      </w:r>
      <w:r>
        <w:rPr>
          <w:rFonts w:ascii="Arial" w:hAnsi="Arial" w:cs="Arial"/>
          <w:bCs/>
          <w:i/>
          <w:strike/>
          <w:sz w:val="24"/>
          <w:szCs w:val="24"/>
        </w:rPr>
        <w:t>………..602</w:t>
      </w:r>
    </w:p>
    <w:p w14:paraId="496FB799" w14:textId="77777777" w:rsidR="005D4329" w:rsidRDefault="005D4329" w:rsidP="005D4329">
      <w:pPr>
        <w:rPr>
          <w:rFonts w:ascii="Arial" w:hAnsi="Arial" w:cs="Arial"/>
          <w:sz w:val="20"/>
          <w:szCs w:val="20"/>
          <w:highlight w:val="lightGray"/>
        </w:rPr>
      </w:pPr>
    </w:p>
    <w:p w14:paraId="5DE33BD3" w14:textId="77777777" w:rsidR="005D4329" w:rsidRDefault="005D4329" w:rsidP="005D4329">
      <w:pPr>
        <w:jc w:val="both"/>
        <w:rPr>
          <w:rFonts w:ascii="Arial" w:hAnsi="Arial" w:cs="Arial"/>
          <w:b/>
          <w:bCs/>
          <w:sz w:val="28"/>
          <w:szCs w:val="28"/>
        </w:rPr>
      </w:pPr>
      <w:r w:rsidRPr="00FC0F7D">
        <w:rPr>
          <w:rFonts w:ascii="Arial" w:hAnsi="Arial" w:cs="Arial"/>
          <w:b/>
          <w:bCs/>
          <w:sz w:val="28"/>
          <w:szCs w:val="28"/>
        </w:rPr>
        <w:t>Chapter 5</w:t>
      </w:r>
      <w:r>
        <w:rPr>
          <w:rFonts w:ascii="Arial" w:hAnsi="Arial" w:cs="Arial"/>
          <w:b/>
          <w:bCs/>
          <w:sz w:val="28"/>
          <w:szCs w:val="28"/>
        </w:rPr>
        <w:t>:</w:t>
      </w:r>
      <w:r w:rsidRPr="00FC0F7D">
        <w:rPr>
          <w:rFonts w:ascii="Arial" w:hAnsi="Arial" w:cs="Arial"/>
          <w:b/>
          <w:bCs/>
          <w:sz w:val="28"/>
          <w:szCs w:val="28"/>
        </w:rPr>
        <w:t xml:space="preserve"> Quality Housing and Sustainable Neighbourhoods</w:t>
      </w:r>
    </w:p>
    <w:p w14:paraId="717B0649" w14:textId="77777777" w:rsidR="005D4329" w:rsidRDefault="005D4329" w:rsidP="005D4329">
      <w:pPr>
        <w:pStyle w:val="Default"/>
        <w:rPr>
          <w:rFonts w:ascii="Arial" w:hAnsi="Arial" w:cs="Arial"/>
          <w:b/>
        </w:rPr>
      </w:pPr>
      <w:r>
        <w:rPr>
          <w:rFonts w:ascii="Arial" w:hAnsi="Arial" w:cs="Arial"/>
          <w:b/>
        </w:rPr>
        <w:t>Section: 5.5.7 Specific Housing Typologies</w:t>
      </w:r>
    </w:p>
    <w:p w14:paraId="17AD094C" w14:textId="77777777" w:rsidR="005D4329" w:rsidRDefault="005D4329" w:rsidP="005D4329">
      <w:pPr>
        <w:pStyle w:val="Default"/>
        <w:rPr>
          <w:rFonts w:ascii="Arial" w:hAnsi="Arial" w:cs="Arial"/>
          <w:b/>
        </w:rPr>
      </w:pPr>
      <w:r>
        <w:rPr>
          <w:rFonts w:ascii="Arial" w:hAnsi="Arial" w:cs="Arial"/>
          <w:b/>
        </w:rPr>
        <w:t xml:space="preserve">Build to Rent (BTR) and Shared Accommodation </w:t>
      </w:r>
    </w:p>
    <w:p w14:paraId="644A55F0" w14:textId="77777777" w:rsidR="005D4329" w:rsidRDefault="005D4329" w:rsidP="005D4329">
      <w:pPr>
        <w:pStyle w:val="Default"/>
        <w:rPr>
          <w:rFonts w:ascii="Arial" w:hAnsi="Arial" w:cs="Arial"/>
          <w:b/>
        </w:rPr>
      </w:pPr>
      <w:r>
        <w:rPr>
          <w:rFonts w:ascii="Arial" w:hAnsi="Arial" w:cs="Arial"/>
          <w:b/>
        </w:rPr>
        <w:t>Page 153</w:t>
      </w:r>
    </w:p>
    <w:p w14:paraId="12CFD446" w14:textId="77777777" w:rsidR="005D4329" w:rsidRDefault="005D4329" w:rsidP="005D4329">
      <w:pPr>
        <w:pStyle w:val="Default"/>
        <w:rPr>
          <w:rFonts w:ascii="Arial" w:hAnsi="Arial" w:cs="Arial"/>
          <w:b/>
        </w:rPr>
      </w:pPr>
    </w:p>
    <w:p w14:paraId="4A0F2D1D" w14:textId="77777777" w:rsidR="005D4329" w:rsidRPr="009F599C" w:rsidRDefault="005D4329" w:rsidP="005D4329">
      <w:pPr>
        <w:jc w:val="both"/>
        <w:rPr>
          <w:rFonts w:ascii="Arial" w:hAnsi="Arial" w:cs="Arial"/>
          <w:bCs/>
          <w:sz w:val="24"/>
          <w:szCs w:val="24"/>
        </w:rPr>
      </w:pPr>
      <w:r w:rsidRPr="009F599C">
        <w:rPr>
          <w:rFonts w:ascii="Arial" w:hAnsi="Arial" w:cs="Arial"/>
          <w:bCs/>
          <w:sz w:val="24"/>
          <w:szCs w:val="24"/>
          <w:highlight w:val="yellow"/>
        </w:rPr>
        <w:t>Proposed Amendments Reference No. 2</w:t>
      </w:r>
    </w:p>
    <w:p w14:paraId="43428767" w14:textId="77777777" w:rsidR="005D4329" w:rsidRPr="00AE1DA3" w:rsidRDefault="005D4329" w:rsidP="005D4329">
      <w:pPr>
        <w:pStyle w:val="Default"/>
        <w:rPr>
          <w:rFonts w:ascii="Arial" w:hAnsi="Arial" w:cs="Arial"/>
          <w:b/>
        </w:rPr>
      </w:pPr>
      <w:r>
        <w:rPr>
          <w:rFonts w:ascii="Arial" w:hAnsi="Arial" w:cs="Arial"/>
          <w:b/>
        </w:rPr>
        <w:t xml:space="preserve">Amend Section 5.5.7 as follows:  </w:t>
      </w:r>
    </w:p>
    <w:p w14:paraId="6A515A66" w14:textId="77777777" w:rsidR="005D4329" w:rsidRPr="009F599C" w:rsidRDefault="005D4329" w:rsidP="005D4329">
      <w:pPr>
        <w:pStyle w:val="Default"/>
        <w:rPr>
          <w:rFonts w:ascii="Arial" w:hAnsi="Arial" w:cs="Arial"/>
          <w:b/>
        </w:rPr>
      </w:pPr>
    </w:p>
    <w:p w14:paraId="4E05EF0B" w14:textId="77777777" w:rsidR="005D4329" w:rsidRPr="00605E79" w:rsidRDefault="005D4329" w:rsidP="005D4329">
      <w:pPr>
        <w:pStyle w:val="Heading4"/>
        <w:rPr>
          <w:rFonts w:ascii="Arial" w:hAnsi="Arial" w:cs="Arial"/>
          <w:color w:val="auto"/>
          <w:sz w:val="24"/>
          <w:szCs w:val="24"/>
        </w:rPr>
      </w:pPr>
      <w:r w:rsidRPr="00605E79">
        <w:rPr>
          <w:rFonts w:ascii="Arial" w:hAnsi="Arial" w:cs="Arial"/>
          <w:strike/>
          <w:color w:val="auto"/>
          <w:sz w:val="24"/>
          <w:szCs w:val="24"/>
        </w:rPr>
        <w:t>Build to Rent (BTR) and</w:t>
      </w:r>
      <w:r w:rsidRPr="00605E79">
        <w:rPr>
          <w:rFonts w:ascii="Arial" w:hAnsi="Arial" w:cs="Arial"/>
          <w:color w:val="auto"/>
          <w:sz w:val="24"/>
          <w:szCs w:val="24"/>
        </w:rPr>
        <w:t xml:space="preserve"> Shared Accommodation </w:t>
      </w:r>
    </w:p>
    <w:p w14:paraId="54B059BA" w14:textId="77777777" w:rsidR="005D4329" w:rsidRDefault="005D4329" w:rsidP="005D4329">
      <w:pPr>
        <w:rPr>
          <w:rFonts w:ascii="Arial" w:hAnsi="Arial" w:cs="Arial"/>
          <w:sz w:val="24"/>
          <w:szCs w:val="24"/>
        </w:rPr>
      </w:pPr>
    </w:p>
    <w:p w14:paraId="0C6F2185" w14:textId="77777777" w:rsidR="005D4329" w:rsidRPr="00DB18A1" w:rsidRDefault="005D4329" w:rsidP="005D4329">
      <w:pPr>
        <w:rPr>
          <w:rFonts w:ascii="Arial" w:hAnsi="Arial" w:cs="Arial"/>
          <w:color w:val="C00000"/>
          <w:sz w:val="24"/>
          <w:szCs w:val="24"/>
        </w:rPr>
      </w:pPr>
      <w:r w:rsidRPr="001F163C">
        <w:rPr>
          <w:rFonts w:ascii="Arial" w:hAnsi="Arial" w:cs="Arial"/>
          <w:sz w:val="24"/>
          <w:szCs w:val="24"/>
        </w:rPr>
        <w:t xml:space="preserve">New housing typologies have emerged and developed in recent years including Build to Rent and Shared Accommodation (also known as ‘co-living’). The ‘Design Standards for New Apartments - Guidelines for Planning Authorities’ were updated in 2020 </w:t>
      </w:r>
      <w:r w:rsidRPr="00DB18A1">
        <w:rPr>
          <w:rFonts w:ascii="Arial" w:hAnsi="Arial" w:cs="Arial"/>
          <w:color w:val="FF0000"/>
          <w:sz w:val="24"/>
          <w:szCs w:val="24"/>
        </w:rPr>
        <w:t>and again in 2022 and 2023</w:t>
      </w:r>
      <w:r>
        <w:rPr>
          <w:rFonts w:ascii="Arial" w:hAnsi="Arial" w:cs="Arial"/>
          <w:color w:val="FF0000"/>
          <w:sz w:val="24"/>
          <w:szCs w:val="24"/>
          <w:u w:val="single"/>
        </w:rPr>
        <w:t xml:space="preserve"> </w:t>
      </w:r>
      <w:r w:rsidRPr="001F163C">
        <w:rPr>
          <w:rFonts w:ascii="Arial" w:hAnsi="Arial" w:cs="Arial"/>
          <w:color w:val="FF0000"/>
          <w:sz w:val="24"/>
          <w:szCs w:val="24"/>
          <w:u w:val="single"/>
        </w:rPr>
        <w:t xml:space="preserve"> </w:t>
      </w:r>
      <w:r w:rsidRPr="001F163C">
        <w:rPr>
          <w:rFonts w:ascii="Arial" w:hAnsi="Arial" w:cs="Arial"/>
          <w:sz w:val="24"/>
          <w:szCs w:val="24"/>
        </w:rPr>
        <w:t xml:space="preserve">and aim to enable a mix of apartment types, make better provision for building refurbishment and infill schemes and address the </w:t>
      </w:r>
      <w:r w:rsidRPr="001F163C">
        <w:rPr>
          <w:rFonts w:ascii="Arial" w:hAnsi="Arial" w:cs="Arial"/>
          <w:strike/>
          <w:sz w:val="24"/>
          <w:szCs w:val="24"/>
        </w:rPr>
        <w:t>emerging</w:t>
      </w:r>
      <w:r w:rsidRPr="001F163C">
        <w:rPr>
          <w:rFonts w:ascii="Arial" w:hAnsi="Arial" w:cs="Arial"/>
          <w:sz w:val="24"/>
          <w:szCs w:val="24"/>
        </w:rPr>
        <w:t xml:space="preserve"> the Build to Rent and Shared Accommodation sectors.  </w:t>
      </w:r>
      <w:r w:rsidRPr="00DB18A1">
        <w:rPr>
          <w:rFonts w:ascii="Arial" w:hAnsi="Arial" w:cs="Arial"/>
          <w:color w:val="FF0000"/>
          <w:sz w:val="24"/>
          <w:szCs w:val="24"/>
        </w:rPr>
        <w:t xml:space="preserve">The 2022/23 technical update to the Design Standards for New Apartment Guidelines no longer identify Build to </w:t>
      </w:r>
      <w:proofErr w:type="gramStart"/>
      <w:r w:rsidRPr="00DB18A1">
        <w:rPr>
          <w:rFonts w:ascii="Arial" w:hAnsi="Arial" w:cs="Arial"/>
          <w:color w:val="FF0000"/>
          <w:sz w:val="24"/>
          <w:szCs w:val="24"/>
        </w:rPr>
        <w:t>Rent</w:t>
      </w:r>
      <w:proofErr w:type="gramEnd"/>
      <w:r w:rsidRPr="00DB18A1">
        <w:rPr>
          <w:rFonts w:ascii="Arial" w:hAnsi="Arial" w:cs="Arial"/>
          <w:color w:val="FF0000"/>
          <w:sz w:val="24"/>
          <w:szCs w:val="24"/>
        </w:rPr>
        <w:t xml:space="preserve"> accommodation as a distinct housing typology which requires separate guidance / design standards.  </w:t>
      </w:r>
    </w:p>
    <w:p w14:paraId="1E65A2D7" w14:textId="77777777" w:rsidR="005D4329" w:rsidRPr="009F599C" w:rsidRDefault="005D4329" w:rsidP="005D4329">
      <w:pPr>
        <w:rPr>
          <w:rFonts w:ascii="Arial" w:hAnsi="Arial" w:cs="Arial"/>
          <w:strike/>
          <w:sz w:val="24"/>
          <w:szCs w:val="24"/>
        </w:rPr>
      </w:pPr>
      <w:r w:rsidRPr="009F599C">
        <w:rPr>
          <w:rFonts w:ascii="Arial" w:hAnsi="Arial" w:cs="Arial"/>
          <w:strike/>
          <w:sz w:val="24"/>
          <w:szCs w:val="24"/>
        </w:rPr>
        <w:lastRenderedPageBreak/>
        <w:t xml:space="preserve">It is recognised that Build to Rent (BTR) serves an important role in meeting housing demand and can fill a gap in tenure mix in established areas of owner-occupier housing. Recent emerging trends however, would indicate that the dominance of BTR in large schemes can be to the detriment of standard designed apartment units. Whilst such development has its place in the hierarchy of provision of homes across the city, the Planning authority will seek to avoid over proliferation of such use in certain areas and encourage such development as part of a healthy mix of tenure in order to create sustainable communities and neighbourhoods. </w:t>
      </w:r>
    </w:p>
    <w:p w14:paraId="3C24DC6F" w14:textId="77777777" w:rsidR="005D4329" w:rsidRPr="009F599C" w:rsidRDefault="005D4329" w:rsidP="005D4329">
      <w:pPr>
        <w:rPr>
          <w:rFonts w:ascii="Arial" w:hAnsi="Arial" w:cs="Arial"/>
          <w:strike/>
          <w:sz w:val="24"/>
          <w:szCs w:val="24"/>
        </w:rPr>
      </w:pPr>
      <w:r w:rsidRPr="009F599C">
        <w:rPr>
          <w:rFonts w:ascii="Arial" w:hAnsi="Arial" w:cs="Arial"/>
          <w:strike/>
          <w:sz w:val="24"/>
          <w:szCs w:val="24"/>
        </w:rPr>
        <w:t xml:space="preserve">BTR should be concentrated in significant employment locations, within 500m of major public transport interchanges and within identified Strategic Development Regeneration Areas. </w:t>
      </w:r>
    </w:p>
    <w:p w14:paraId="6D296F5B" w14:textId="77777777" w:rsidR="005D4329" w:rsidRPr="009F599C" w:rsidRDefault="005D4329" w:rsidP="005D4329">
      <w:pPr>
        <w:rPr>
          <w:rFonts w:ascii="Arial" w:hAnsi="Arial" w:cs="Arial"/>
          <w:strike/>
          <w:sz w:val="24"/>
          <w:szCs w:val="24"/>
        </w:rPr>
      </w:pPr>
      <w:r w:rsidRPr="009F599C">
        <w:rPr>
          <w:rFonts w:ascii="Arial" w:hAnsi="Arial" w:cs="Arial"/>
          <w:strike/>
          <w:sz w:val="24"/>
          <w:szCs w:val="24"/>
        </w:rPr>
        <w:t>Furthermore, applications for BTR schemes should be required to demonstrate how the development supports housing need, particularly with regard to tenure, unit size and accessibility with particular reference to the Dublin City Council Housing Need and Demand Assessment and that there is not an over-concentration of Build to Rent Accommodation within an area, including a map showing all such facilities within a 1km radius of</w:t>
      </w:r>
      <w:r w:rsidRPr="009F599C">
        <w:rPr>
          <w:rFonts w:ascii="Arial" w:eastAsia="Arial" w:hAnsi="Arial" w:cs="Arial"/>
          <w:strike/>
          <w:sz w:val="24"/>
          <w:szCs w:val="24"/>
        </w:rPr>
        <w:t xml:space="preserve"> a proposal. </w:t>
      </w:r>
      <w:r w:rsidRPr="009F599C">
        <w:rPr>
          <w:rFonts w:ascii="Arial" w:hAnsi="Arial" w:cs="Arial"/>
          <w:strike/>
          <w:sz w:val="24"/>
          <w:szCs w:val="24"/>
        </w:rPr>
        <w:t>Such housing will be controlled in the interest of providing a mix of tenure and unit types. In assessing the matter of overconcentration, the Planning authority will have regard to factors such as:</w:t>
      </w:r>
    </w:p>
    <w:p w14:paraId="69A1D883" w14:textId="77777777" w:rsidR="005D4329" w:rsidRPr="009F599C" w:rsidRDefault="005D4329" w:rsidP="005D4329">
      <w:pPr>
        <w:pStyle w:val="Default"/>
        <w:numPr>
          <w:ilvl w:val="0"/>
          <w:numId w:val="15"/>
        </w:numPr>
        <w:spacing w:after="200" w:line="276" w:lineRule="auto"/>
        <w:ind w:left="851" w:hanging="425"/>
        <w:rPr>
          <w:rFonts w:ascii="Arial" w:hAnsi="Arial" w:cs="Arial"/>
          <w:strike/>
        </w:rPr>
      </w:pPr>
      <w:r w:rsidRPr="009F599C">
        <w:rPr>
          <w:rFonts w:ascii="Arial" w:hAnsi="Arial" w:cs="Arial"/>
          <w:strike/>
        </w:rPr>
        <w:t xml:space="preserve">the number and scale of other permitted and proposed BTR development in the vicinity (within a 1km radius) of the site, </w:t>
      </w:r>
    </w:p>
    <w:p w14:paraId="00FC0D82" w14:textId="77777777" w:rsidR="005D4329" w:rsidRPr="009F599C" w:rsidRDefault="005D4329" w:rsidP="005D4329">
      <w:pPr>
        <w:pStyle w:val="Default"/>
        <w:numPr>
          <w:ilvl w:val="0"/>
          <w:numId w:val="15"/>
        </w:numPr>
        <w:spacing w:after="200" w:line="276" w:lineRule="auto"/>
        <w:ind w:left="851" w:hanging="425"/>
        <w:rPr>
          <w:rFonts w:ascii="Arial" w:hAnsi="Arial" w:cs="Arial"/>
          <w:strike/>
        </w:rPr>
      </w:pPr>
      <w:r w:rsidRPr="009F599C">
        <w:rPr>
          <w:rFonts w:ascii="Arial" w:hAnsi="Arial" w:cs="Arial"/>
          <w:strike/>
        </w:rPr>
        <w:t xml:space="preserve">the household tenure and housing type of existing housing stock in the approximate vicinity (within a 1km radius) of the site, </w:t>
      </w:r>
    </w:p>
    <w:p w14:paraId="609EE7A0" w14:textId="77777777" w:rsidR="005D4329" w:rsidRPr="009F599C" w:rsidRDefault="005D4329" w:rsidP="005D4329">
      <w:pPr>
        <w:pStyle w:val="Default"/>
        <w:numPr>
          <w:ilvl w:val="0"/>
          <w:numId w:val="15"/>
        </w:numPr>
        <w:spacing w:after="200" w:line="276" w:lineRule="auto"/>
        <w:ind w:left="851" w:hanging="425"/>
        <w:rPr>
          <w:rFonts w:ascii="Arial" w:hAnsi="Arial" w:cs="Arial"/>
          <w:strike/>
        </w:rPr>
      </w:pPr>
      <w:proofErr w:type="gramStart"/>
      <w:r w:rsidRPr="009F599C">
        <w:rPr>
          <w:rFonts w:ascii="Arial" w:hAnsi="Arial" w:cs="Arial"/>
          <w:strike/>
        </w:rPr>
        <w:t>and</w:t>
      </w:r>
      <w:proofErr w:type="gramEnd"/>
      <w:r w:rsidRPr="009F599C">
        <w:rPr>
          <w:rFonts w:ascii="Arial" w:hAnsi="Arial" w:cs="Arial"/>
          <w:strike/>
        </w:rPr>
        <w:t xml:space="preserve"> the proximity of the proposal to high capacity urban public transport stops and interchange (such as DART, Luas and </w:t>
      </w:r>
      <w:proofErr w:type="spellStart"/>
      <w:r w:rsidRPr="009F599C">
        <w:rPr>
          <w:rFonts w:ascii="Arial" w:hAnsi="Arial" w:cs="Arial"/>
          <w:strike/>
        </w:rPr>
        <w:t>BusConnects</w:t>
      </w:r>
      <w:proofErr w:type="spellEnd"/>
      <w:r w:rsidRPr="009F599C">
        <w:rPr>
          <w:rFonts w:ascii="Arial" w:hAnsi="Arial" w:cs="Arial"/>
          <w:strike/>
        </w:rPr>
        <w:t xml:space="preserve">). </w:t>
      </w:r>
    </w:p>
    <w:p w14:paraId="4B28D631" w14:textId="77777777" w:rsidR="005D4329" w:rsidRPr="009F599C" w:rsidRDefault="005D4329" w:rsidP="005D4329">
      <w:pPr>
        <w:rPr>
          <w:rFonts w:ascii="Arial" w:hAnsi="Arial" w:cs="Arial"/>
          <w:strike/>
          <w:sz w:val="24"/>
          <w:szCs w:val="24"/>
        </w:rPr>
      </w:pPr>
      <w:r w:rsidRPr="009F599C">
        <w:rPr>
          <w:rFonts w:ascii="Arial" w:hAnsi="Arial" w:cs="Arial"/>
          <w:strike/>
          <w:sz w:val="24"/>
          <w:szCs w:val="24"/>
        </w:rPr>
        <w:t xml:space="preserve">There will be a general presumption against large scale residential developments (in excess of 100 units) which comprise of 100% BTR typology. To ensure a sustainable mix of tenure and long term sustainable communities, a minimum of 60% of standard designed apartments will be required in such instances. BTR schemes of less than 100 units will generally not be supported. The concept of Built to Rent requires a critical mass of accommodation to provide a meaningful provision of communal facilities and services. Smaller BTR schemes with less than 100 units will only be considered where it can be demonstrated that there is a strong need for the development and a detailed justification is provided. </w:t>
      </w:r>
    </w:p>
    <w:p w14:paraId="78ADFEC6" w14:textId="77777777" w:rsidR="005D4329" w:rsidRPr="009F599C" w:rsidRDefault="005D4329" w:rsidP="005D4329">
      <w:pPr>
        <w:rPr>
          <w:rFonts w:ascii="Arial" w:hAnsi="Arial" w:cs="Arial"/>
          <w:sz w:val="24"/>
          <w:szCs w:val="24"/>
        </w:rPr>
      </w:pPr>
    </w:p>
    <w:tbl>
      <w:tblPr>
        <w:tblStyle w:val="GridTable5Dark-Accent112"/>
        <w:tblW w:w="0" w:type="auto"/>
        <w:tblLook w:val="04A0" w:firstRow="1" w:lastRow="0" w:firstColumn="1" w:lastColumn="0" w:noHBand="0" w:noVBand="1"/>
      </w:tblPr>
      <w:tblGrid>
        <w:gridCol w:w="1177"/>
        <w:gridCol w:w="7839"/>
      </w:tblGrid>
      <w:tr w:rsidR="005D4329" w:rsidRPr="009F599C" w14:paraId="033D568F" w14:textId="77777777" w:rsidTr="00C61CA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4613DE20" w14:textId="77777777" w:rsidR="005D4329" w:rsidRPr="009F599C" w:rsidRDefault="005D4329" w:rsidP="00C61CA9">
            <w:pPr>
              <w:keepNext/>
              <w:spacing w:after="100"/>
              <w:rPr>
                <w:rFonts w:ascii="Arial" w:hAnsi="Arial" w:cs="Arial"/>
                <w:sz w:val="24"/>
                <w:szCs w:val="24"/>
              </w:rPr>
            </w:pPr>
            <w:r w:rsidRPr="009F599C">
              <w:rPr>
                <w:rFonts w:ascii="Arial" w:hAnsi="Arial" w:cs="Arial"/>
                <w:sz w:val="24"/>
                <w:szCs w:val="24"/>
              </w:rPr>
              <w:lastRenderedPageBreak/>
              <w:t>It is the Policy of Dublin City Council:</w:t>
            </w:r>
          </w:p>
        </w:tc>
      </w:tr>
      <w:tr w:rsidR="005D4329" w:rsidRPr="009F599C" w14:paraId="11BA3738" w14:textId="77777777" w:rsidTr="00C61C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632E52C3" w14:textId="77777777" w:rsidR="005D4329" w:rsidRPr="009F599C" w:rsidRDefault="005D4329" w:rsidP="00C61CA9">
            <w:pPr>
              <w:spacing w:after="100"/>
              <w:rPr>
                <w:rFonts w:ascii="Arial" w:hAnsi="Arial" w:cs="Arial"/>
                <w:strike/>
                <w:color w:val="00853C"/>
                <w:sz w:val="24"/>
                <w:szCs w:val="24"/>
              </w:rPr>
            </w:pPr>
            <w:r w:rsidRPr="009F599C">
              <w:rPr>
                <w:rFonts w:ascii="Arial" w:hAnsi="Arial" w:cs="Arial"/>
                <w:strike/>
                <w:sz w:val="24"/>
                <w:szCs w:val="24"/>
              </w:rPr>
              <w:t>QHSN40</w:t>
            </w:r>
          </w:p>
        </w:tc>
        <w:tc>
          <w:tcPr>
            <w:tcW w:w="7839" w:type="dxa"/>
            <w:vAlign w:val="center"/>
          </w:tcPr>
          <w:p w14:paraId="0329E022" w14:textId="77777777" w:rsidR="005D4329" w:rsidRPr="009F599C"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strike/>
                <w:sz w:val="24"/>
                <w:szCs w:val="24"/>
              </w:rPr>
            </w:pPr>
            <w:r w:rsidRPr="009F599C">
              <w:rPr>
                <w:rFonts w:ascii="Arial" w:hAnsi="Arial" w:cs="Arial"/>
                <w:b/>
                <w:strike/>
                <w:sz w:val="24"/>
                <w:szCs w:val="24"/>
              </w:rPr>
              <w:t>Build to Rent Accommodation</w:t>
            </w:r>
          </w:p>
          <w:p w14:paraId="788821EF" w14:textId="77777777" w:rsidR="005D4329" w:rsidRPr="009F599C"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strike/>
                <w:sz w:val="24"/>
                <w:szCs w:val="24"/>
              </w:rPr>
            </w:pPr>
            <w:r w:rsidRPr="009F599C">
              <w:rPr>
                <w:rFonts w:ascii="Arial" w:hAnsi="Arial" w:cs="Arial"/>
                <w:strike/>
                <w:sz w:val="24"/>
                <w:szCs w:val="24"/>
              </w:rPr>
              <w:t>To facilitate the provision of Build to Rent (BTR) Accommodation in the following specific locations:</w:t>
            </w:r>
          </w:p>
          <w:p w14:paraId="198AC6C3" w14:textId="77777777" w:rsidR="005D4329" w:rsidRPr="009F599C" w:rsidRDefault="005D4329" w:rsidP="005D4329">
            <w:pPr>
              <w:pStyle w:val="ListParagraph"/>
              <w:numPr>
                <w:ilvl w:val="0"/>
                <w:numId w:val="16"/>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9F599C">
              <w:rPr>
                <w:rFonts w:ascii="Arial" w:hAnsi="Arial" w:cs="Arial"/>
                <w:strike/>
              </w:rPr>
              <w:t>Within 500 metre walking distance of significant employment locations,</w:t>
            </w:r>
          </w:p>
          <w:p w14:paraId="7BF7F7D6" w14:textId="77777777" w:rsidR="005D4329" w:rsidRPr="009F599C" w:rsidRDefault="005D4329" w:rsidP="005D4329">
            <w:pPr>
              <w:pStyle w:val="ListParagraph"/>
              <w:numPr>
                <w:ilvl w:val="0"/>
                <w:numId w:val="16"/>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9F599C">
              <w:rPr>
                <w:rFonts w:ascii="Arial" w:hAnsi="Arial" w:cs="Arial"/>
                <w:strike/>
              </w:rPr>
              <w:t xml:space="preserve">Within 500 metres of major public transport interchanges (e.g. Connolly Station, Tara Street Station and </w:t>
            </w:r>
            <w:proofErr w:type="spellStart"/>
            <w:r w:rsidRPr="009F599C">
              <w:rPr>
                <w:rFonts w:ascii="Arial" w:hAnsi="Arial" w:cs="Arial"/>
                <w:strike/>
              </w:rPr>
              <w:t>Heuston</w:t>
            </w:r>
            <w:proofErr w:type="spellEnd"/>
            <w:r w:rsidRPr="009F599C">
              <w:rPr>
                <w:rFonts w:ascii="Arial" w:hAnsi="Arial" w:cs="Arial"/>
                <w:strike/>
              </w:rPr>
              <w:t xml:space="preserve"> Station), and</w:t>
            </w:r>
          </w:p>
          <w:p w14:paraId="72EBB424" w14:textId="77777777" w:rsidR="005D4329" w:rsidRPr="009F599C" w:rsidRDefault="005D4329" w:rsidP="005D4329">
            <w:pPr>
              <w:pStyle w:val="ListParagraph"/>
              <w:numPr>
                <w:ilvl w:val="0"/>
                <w:numId w:val="16"/>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trike/>
              </w:rPr>
            </w:pPr>
            <w:r w:rsidRPr="009F599C">
              <w:rPr>
                <w:rFonts w:ascii="Arial" w:hAnsi="Arial" w:cs="Arial"/>
                <w:strike/>
              </w:rPr>
              <w:t>Within identified Strategic Development Regenerations Areas.</w:t>
            </w:r>
          </w:p>
          <w:p w14:paraId="576ABC64" w14:textId="77777777" w:rsidR="005D4329" w:rsidRPr="009F599C"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strike/>
                <w:sz w:val="24"/>
                <w:szCs w:val="24"/>
              </w:rPr>
            </w:pPr>
            <w:r w:rsidRPr="009F599C">
              <w:rPr>
                <w:rFonts w:ascii="Arial" w:hAnsi="Arial" w:cs="Arial"/>
                <w:strike/>
                <w:sz w:val="24"/>
                <w:szCs w:val="24"/>
              </w:rPr>
              <w:t xml:space="preserve">There will be a general presumption against large scale residential developments (in excess of 100 units) which comprise of 100% BTR typology. To ensure there are opportunities for a sustainable mix of tenure and long term sustainable communities, a minimum of 60% of units within a development must be designed as standard apartments in accordance with the requirements set out in the Sustainable Urban Housing: Design Standards for New Apartments, December 2020. </w:t>
            </w:r>
          </w:p>
          <w:p w14:paraId="34CA3726" w14:textId="77777777" w:rsidR="005D4329" w:rsidRPr="009F599C"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strike/>
                <w:sz w:val="24"/>
                <w:szCs w:val="24"/>
              </w:rPr>
            </w:pPr>
            <w:r w:rsidRPr="009F599C">
              <w:rPr>
                <w:rFonts w:ascii="Arial" w:hAnsi="Arial" w:cs="Arial"/>
                <w:strike/>
                <w:sz w:val="24"/>
                <w:szCs w:val="24"/>
              </w:rPr>
              <w:t xml:space="preserve">There will be a presumption against the proliferation and over concentration of BTR development in any one area. In this regard, applications for BTR developments should be accompanied by an assessment of other permitted and proposed BTR developments within a 1km radius of the site to demonstrate: </w:t>
            </w:r>
          </w:p>
          <w:p w14:paraId="4CB27915" w14:textId="77777777" w:rsidR="005D4329" w:rsidRPr="009F599C" w:rsidRDefault="005D4329" w:rsidP="005D4329">
            <w:pPr>
              <w:pStyle w:val="ListParagraph"/>
              <w:numPr>
                <w:ilvl w:val="0"/>
                <w:numId w:val="17"/>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strike/>
              </w:rPr>
            </w:pPr>
            <w:proofErr w:type="gramStart"/>
            <w:r w:rsidRPr="009F599C">
              <w:rPr>
                <w:rFonts w:ascii="Arial" w:hAnsi="Arial" w:cs="Arial"/>
                <w:strike/>
              </w:rPr>
              <w:t>that</w:t>
            </w:r>
            <w:proofErr w:type="gramEnd"/>
            <w:r w:rsidRPr="009F599C">
              <w:rPr>
                <w:rFonts w:ascii="Arial" w:hAnsi="Arial" w:cs="Arial"/>
                <w:strike/>
              </w:rPr>
              <w:t xml:space="preserve"> the development would not result in the overconcentration of one housing tenure in a particular area and take into account the location of the proposed BTR. </w:t>
            </w:r>
          </w:p>
          <w:p w14:paraId="75DBF105" w14:textId="77777777" w:rsidR="005D4329" w:rsidRPr="009F599C" w:rsidRDefault="005D4329" w:rsidP="005D4329">
            <w:pPr>
              <w:pStyle w:val="ListParagraph"/>
              <w:numPr>
                <w:ilvl w:val="0"/>
                <w:numId w:val="17"/>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rPr>
            </w:pPr>
            <w:proofErr w:type="gramStart"/>
            <w:r w:rsidRPr="009F599C">
              <w:rPr>
                <w:rFonts w:ascii="Arial" w:hAnsi="Arial" w:cs="Arial"/>
                <w:strike/>
              </w:rPr>
              <w:t>how</w:t>
            </w:r>
            <w:proofErr w:type="gramEnd"/>
            <w:r w:rsidRPr="009F599C">
              <w:rPr>
                <w:rFonts w:ascii="Arial" w:hAnsi="Arial" w:cs="Arial"/>
                <w:strike/>
              </w:rPr>
              <w:t xml:space="preserve"> the development supports housing need, particularly with regard to tenure, unit size and accessibility with particular reference to the Dublin City Council Housing Need and Demand Assessment.</w:t>
            </w:r>
          </w:p>
        </w:tc>
      </w:tr>
      <w:tr w:rsidR="005D4329" w:rsidRPr="009F599C" w14:paraId="20B56268" w14:textId="77777777" w:rsidTr="00C61CA9">
        <w:trPr>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2FE51020" w14:textId="77777777" w:rsidR="005D4329" w:rsidRPr="009F599C" w:rsidRDefault="005D4329" w:rsidP="00C61CA9">
            <w:pPr>
              <w:spacing w:after="100"/>
              <w:rPr>
                <w:rFonts w:ascii="Arial" w:hAnsi="Arial" w:cs="Arial"/>
                <w:strike/>
                <w:color w:val="00853C"/>
                <w:sz w:val="24"/>
                <w:szCs w:val="24"/>
              </w:rPr>
            </w:pPr>
            <w:r w:rsidRPr="009F599C">
              <w:rPr>
                <w:rFonts w:ascii="Arial" w:hAnsi="Arial" w:cs="Arial"/>
                <w:strike/>
                <w:sz w:val="24"/>
                <w:szCs w:val="24"/>
              </w:rPr>
              <w:t>QHSN41</w:t>
            </w:r>
          </w:p>
        </w:tc>
        <w:tc>
          <w:tcPr>
            <w:tcW w:w="7839" w:type="dxa"/>
            <w:vAlign w:val="center"/>
          </w:tcPr>
          <w:p w14:paraId="01A8589F" w14:textId="77777777" w:rsidR="005D4329" w:rsidRPr="009F599C" w:rsidRDefault="005D4329" w:rsidP="00C61CA9">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strike/>
                <w:sz w:val="24"/>
                <w:szCs w:val="24"/>
              </w:rPr>
            </w:pPr>
            <w:r w:rsidRPr="009F599C">
              <w:rPr>
                <w:rFonts w:ascii="Arial" w:hAnsi="Arial" w:cs="Arial"/>
                <w:strike/>
                <w:sz w:val="24"/>
                <w:szCs w:val="24"/>
              </w:rPr>
              <w:t>Built to Rent Accommodation</w:t>
            </w:r>
          </w:p>
          <w:p w14:paraId="325C79B2" w14:textId="77777777" w:rsidR="005D4329" w:rsidRPr="009F599C" w:rsidRDefault="005D4329" w:rsidP="00C61CA9">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599C">
              <w:rPr>
                <w:rFonts w:ascii="Arial" w:hAnsi="Arial" w:cs="Arial"/>
                <w:strike/>
                <w:sz w:val="24"/>
                <w:szCs w:val="24"/>
              </w:rPr>
              <w:t>To discourage BTR Accommodation schemes of less than 100 units due to the need to provide a critical mass of accommodation to provide a meaningful provision of communal facilities and services. Smaller BTR accommodation schemes with less than 100 units will only be considered in exceptional circumstances and where a detailed justification is provided.</w:t>
            </w:r>
            <w:r w:rsidRPr="009F599C">
              <w:rPr>
                <w:rFonts w:ascii="Arial" w:hAnsi="Arial" w:cs="Arial"/>
                <w:sz w:val="24"/>
                <w:szCs w:val="24"/>
              </w:rPr>
              <w:t xml:space="preserve"> </w:t>
            </w:r>
          </w:p>
        </w:tc>
      </w:tr>
      <w:tr w:rsidR="005D4329" w:rsidRPr="009F599C" w14:paraId="2F95DC97" w14:textId="77777777" w:rsidTr="00C61C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698CEC5C" w14:textId="77777777" w:rsidR="005D4329" w:rsidRPr="009F599C" w:rsidRDefault="005D4329" w:rsidP="00C61CA9">
            <w:pPr>
              <w:spacing w:after="100"/>
              <w:rPr>
                <w:rFonts w:ascii="Arial" w:hAnsi="Arial" w:cs="Arial"/>
                <w:strike/>
                <w:color w:val="00853C"/>
                <w:sz w:val="24"/>
                <w:szCs w:val="24"/>
              </w:rPr>
            </w:pPr>
            <w:r w:rsidRPr="009F599C">
              <w:rPr>
                <w:rFonts w:ascii="Arial" w:hAnsi="Arial" w:cs="Arial"/>
                <w:strike/>
                <w:sz w:val="24"/>
                <w:szCs w:val="24"/>
              </w:rPr>
              <w:t>QHSN42</w:t>
            </w:r>
          </w:p>
        </w:tc>
        <w:tc>
          <w:tcPr>
            <w:tcW w:w="7839" w:type="dxa"/>
            <w:vAlign w:val="center"/>
          </w:tcPr>
          <w:p w14:paraId="5E546CEF" w14:textId="77777777" w:rsidR="005D4329" w:rsidRPr="009F599C" w:rsidRDefault="005D4329" w:rsidP="00C61CA9">
            <w:pPr>
              <w:pStyle w:val="Heading6"/>
              <w:outlineLvl w:val="5"/>
              <w:cnfStyle w:val="000000100000" w:firstRow="0" w:lastRow="0" w:firstColumn="0" w:lastColumn="0" w:oddVBand="0" w:evenVBand="0" w:oddHBand="1" w:evenHBand="0" w:firstRowFirstColumn="0" w:firstRowLastColumn="0" w:lastRowFirstColumn="0" w:lastRowLastColumn="0"/>
              <w:rPr>
                <w:rFonts w:ascii="Arial" w:hAnsi="Arial" w:cs="Arial"/>
                <w:strike/>
                <w:sz w:val="24"/>
                <w:szCs w:val="24"/>
              </w:rPr>
            </w:pPr>
            <w:r w:rsidRPr="009F599C">
              <w:rPr>
                <w:rFonts w:ascii="Arial" w:hAnsi="Arial" w:cs="Arial"/>
                <w:strike/>
                <w:sz w:val="24"/>
                <w:szCs w:val="24"/>
              </w:rPr>
              <w:t>Built to Rent Accommodation</w:t>
            </w:r>
          </w:p>
          <w:p w14:paraId="67E3F75F" w14:textId="77777777" w:rsidR="005D4329" w:rsidRPr="009F599C"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599C">
              <w:rPr>
                <w:rFonts w:ascii="Arial" w:hAnsi="Arial" w:cs="Arial"/>
                <w:strike/>
                <w:sz w:val="24"/>
                <w:szCs w:val="24"/>
              </w:rPr>
              <w:t>To foster community both within a BTR scheme and to encourage its integration into the existing community, the applicant will be requested to provide an evidenced based analysis that the proposed resident support facilities are appropriate to the intended rental market having regard to the scale and location of the proposal.  The applicant must also demonstrate how the BTR scheme must contribute to the sustainable development of the broader community and neighbourhood.</w:t>
            </w:r>
          </w:p>
        </w:tc>
      </w:tr>
      <w:tr w:rsidR="005D4329" w:rsidRPr="009F599C" w14:paraId="6B5DA085" w14:textId="77777777" w:rsidTr="00C61CA9">
        <w:trPr>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233C67F8" w14:textId="77777777" w:rsidR="005D4329" w:rsidRPr="009F599C" w:rsidRDefault="005D4329" w:rsidP="00C61CA9">
            <w:pPr>
              <w:spacing w:after="100"/>
              <w:rPr>
                <w:rFonts w:ascii="Arial" w:hAnsi="Arial" w:cs="Arial"/>
                <w:sz w:val="24"/>
                <w:szCs w:val="24"/>
              </w:rPr>
            </w:pPr>
            <w:r w:rsidRPr="009F599C">
              <w:rPr>
                <w:rFonts w:ascii="Arial" w:hAnsi="Arial" w:cs="Arial"/>
                <w:sz w:val="24"/>
                <w:szCs w:val="24"/>
              </w:rPr>
              <w:lastRenderedPageBreak/>
              <w:t>QHSN44</w:t>
            </w:r>
          </w:p>
        </w:tc>
        <w:tc>
          <w:tcPr>
            <w:tcW w:w="7839" w:type="dxa"/>
            <w:vAlign w:val="center"/>
          </w:tcPr>
          <w:p w14:paraId="5F6D6A23" w14:textId="77777777" w:rsidR="005D4329" w:rsidRPr="009F599C" w:rsidRDefault="005D4329" w:rsidP="00C61CA9">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599C">
              <w:rPr>
                <w:rFonts w:ascii="Arial" w:hAnsi="Arial" w:cs="Arial"/>
                <w:strike/>
                <w:sz w:val="24"/>
                <w:szCs w:val="24"/>
              </w:rPr>
              <w:t>Build to Rent/</w:t>
            </w:r>
            <w:r w:rsidRPr="009F599C">
              <w:rPr>
                <w:rFonts w:ascii="Arial" w:hAnsi="Arial" w:cs="Arial"/>
                <w:sz w:val="24"/>
                <w:szCs w:val="24"/>
              </w:rPr>
              <w:t>Student Accommodation/Co-living Development</w:t>
            </w:r>
          </w:p>
          <w:p w14:paraId="038DA0C7" w14:textId="77777777" w:rsidR="005D4329" w:rsidRPr="009F599C" w:rsidRDefault="005D4329" w:rsidP="00C61CA9">
            <w:pPr>
              <w:spacing w:after="10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9F599C">
              <w:rPr>
                <w:rFonts w:ascii="Arial" w:hAnsi="Arial" w:cs="Arial"/>
                <w:sz w:val="24"/>
                <w:szCs w:val="24"/>
              </w:rPr>
              <w:t xml:space="preserve">It is the policy of DCC to avoid the proliferation and concentration of clusters of </w:t>
            </w:r>
            <w:r w:rsidRPr="009F599C">
              <w:rPr>
                <w:rFonts w:ascii="Arial" w:hAnsi="Arial" w:cs="Arial"/>
                <w:strike/>
                <w:sz w:val="24"/>
                <w:szCs w:val="24"/>
              </w:rPr>
              <w:t>build to rent/</w:t>
            </w:r>
            <w:r w:rsidRPr="009F599C">
              <w:rPr>
                <w:rFonts w:ascii="Arial" w:hAnsi="Arial" w:cs="Arial"/>
                <w:sz w:val="24"/>
                <w:szCs w:val="24"/>
              </w:rPr>
              <w:t>student accommodation/co-living development in any area of the city.</w:t>
            </w:r>
          </w:p>
        </w:tc>
      </w:tr>
    </w:tbl>
    <w:p w14:paraId="01E4114C" w14:textId="77777777" w:rsidR="005D4329" w:rsidRDefault="005D4329" w:rsidP="005D4329">
      <w:pPr>
        <w:jc w:val="both"/>
        <w:rPr>
          <w:rFonts w:ascii="Arial" w:hAnsi="Arial" w:cs="Arial"/>
          <w:bCs/>
          <w:sz w:val="20"/>
          <w:szCs w:val="20"/>
        </w:rPr>
      </w:pPr>
    </w:p>
    <w:p w14:paraId="25783135" w14:textId="77777777" w:rsidR="005D4329" w:rsidRDefault="005D4329" w:rsidP="005D4329">
      <w:pPr>
        <w:jc w:val="both"/>
        <w:rPr>
          <w:rFonts w:ascii="Arial" w:hAnsi="Arial" w:cs="Arial"/>
          <w:b/>
          <w:sz w:val="28"/>
          <w:szCs w:val="28"/>
        </w:rPr>
      </w:pPr>
    </w:p>
    <w:p w14:paraId="0F047243" w14:textId="77777777" w:rsidR="005D4329" w:rsidRDefault="005D4329" w:rsidP="005D4329">
      <w:pPr>
        <w:jc w:val="both"/>
        <w:rPr>
          <w:rFonts w:ascii="Arial" w:hAnsi="Arial" w:cs="Arial"/>
          <w:b/>
          <w:sz w:val="28"/>
          <w:szCs w:val="28"/>
        </w:rPr>
      </w:pPr>
      <w:r w:rsidRPr="00FC0F7D">
        <w:rPr>
          <w:rFonts w:ascii="Arial" w:hAnsi="Arial" w:cs="Arial"/>
          <w:b/>
          <w:sz w:val="28"/>
          <w:szCs w:val="28"/>
        </w:rPr>
        <w:t>Chapter 14 Land Use Zoning</w:t>
      </w:r>
    </w:p>
    <w:p w14:paraId="38A01AB4" w14:textId="77777777" w:rsidR="005D4329" w:rsidRDefault="005D4329" w:rsidP="005D4329">
      <w:pPr>
        <w:spacing w:after="0" w:line="240" w:lineRule="auto"/>
        <w:rPr>
          <w:rFonts w:ascii="Arial" w:hAnsi="Arial" w:cs="Arial"/>
          <w:b/>
          <w:sz w:val="24"/>
          <w:szCs w:val="24"/>
        </w:rPr>
      </w:pPr>
      <w:r w:rsidRPr="00B26556">
        <w:rPr>
          <w:rFonts w:ascii="Arial" w:hAnsi="Arial" w:cs="Arial"/>
          <w:b/>
          <w:sz w:val="24"/>
          <w:szCs w:val="24"/>
        </w:rPr>
        <w:t>Section 14.7.1 Sustainable Residential neighbourhoods – Zone Z1</w:t>
      </w:r>
    </w:p>
    <w:p w14:paraId="712D453A"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Land-Use Zoning Objective Z1: To protect, provide and improve residential amenities</w:t>
      </w:r>
    </w:p>
    <w:p w14:paraId="70C5BA1A"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 xml:space="preserve">Page 530 </w:t>
      </w:r>
    </w:p>
    <w:p w14:paraId="6C817758" w14:textId="77777777" w:rsidR="005D4329" w:rsidRDefault="005D4329" w:rsidP="005D4329">
      <w:pPr>
        <w:rPr>
          <w:rFonts w:cs="Calibri"/>
          <w:strike/>
          <w:szCs w:val="24"/>
        </w:rPr>
      </w:pPr>
    </w:p>
    <w:p w14:paraId="3DCC6D92" w14:textId="77777777" w:rsidR="005D4329" w:rsidRPr="00B26556" w:rsidRDefault="005D4329" w:rsidP="005D4329">
      <w:pPr>
        <w:jc w:val="both"/>
        <w:rPr>
          <w:rFonts w:ascii="Arial" w:hAnsi="Arial" w:cs="Arial"/>
          <w:bCs/>
          <w:sz w:val="24"/>
          <w:szCs w:val="24"/>
        </w:rPr>
      </w:pPr>
      <w:r w:rsidRPr="00B26556">
        <w:rPr>
          <w:rFonts w:ascii="Arial" w:hAnsi="Arial" w:cs="Arial"/>
          <w:bCs/>
          <w:sz w:val="24"/>
          <w:szCs w:val="24"/>
          <w:highlight w:val="yellow"/>
        </w:rPr>
        <w:t>Pr</w:t>
      </w:r>
      <w:r>
        <w:rPr>
          <w:rFonts w:ascii="Arial" w:hAnsi="Arial" w:cs="Arial"/>
          <w:bCs/>
          <w:sz w:val="24"/>
          <w:szCs w:val="24"/>
          <w:highlight w:val="yellow"/>
        </w:rPr>
        <w:t xml:space="preserve">oposed Amendment Reference No. </w:t>
      </w:r>
      <w:r w:rsidRPr="00B331B9">
        <w:rPr>
          <w:rFonts w:ascii="Arial" w:hAnsi="Arial" w:cs="Arial"/>
          <w:bCs/>
          <w:sz w:val="24"/>
          <w:szCs w:val="24"/>
          <w:highlight w:val="yellow"/>
        </w:rPr>
        <w:t>3</w:t>
      </w:r>
    </w:p>
    <w:p w14:paraId="66944497" w14:textId="77777777" w:rsidR="005D4329" w:rsidRDefault="005D4329" w:rsidP="005D4329">
      <w:pPr>
        <w:rPr>
          <w:rFonts w:cs="Calibri"/>
          <w:strike/>
          <w:szCs w:val="24"/>
        </w:rPr>
      </w:pPr>
    </w:p>
    <w:p w14:paraId="61184ACA" w14:textId="77777777" w:rsidR="005D4329" w:rsidRPr="004F21F4" w:rsidRDefault="005D4329" w:rsidP="005D4329">
      <w:pPr>
        <w:rPr>
          <w:rFonts w:ascii="Arial" w:hAnsi="Arial" w:cs="Arial"/>
          <w:sz w:val="24"/>
          <w:szCs w:val="24"/>
        </w:rPr>
      </w:pPr>
      <w:r w:rsidRPr="004F21F4">
        <w:rPr>
          <w:rFonts w:ascii="Arial" w:hAnsi="Arial" w:cs="Arial"/>
          <w:sz w:val="24"/>
          <w:szCs w:val="24"/>
        </w:rPr>
        <w:t>Delete</w:t>
      </w:r>
      <w:r>
        <w:rPr>
          <w:rFonts w:ascii="Arial" w:hAnsi="Arial" w:cs="Arial"/>
          <w:sz w:val="24"/>
          <w:szCs w:val="24"/>
        </w:rPr>
        <w:t xml:space="preserve"> the third paragraph on page 530:</w:t>
      </w:r>
    </w:p>
    <w:p w14:paraId="7BFA23D6" w14:textId="77777777" w:rsidR="005D4329" w:rsidRPr="004F21F4" w:rsidRDefault="005D4329" w:rsidP="005D4329">
      <w:pPr>
        <w:rPr>
          <w:rFonts w:ascii="Arial" w:hAnsi="Arial" w:cs="Arial"/>
          <w:strike/>
          <w:sz w:val="24"/>
          <w:szCs w:val="24"/>
        </w:rPr>
      </w:pPr>
      <w:r w:rsidRPr="004F21F4">
        <w:rPr>
          <w:rFonts w:ascii="Arial" w:hAnsi="Arial" w:cs="Arial"/>
          <w:strike/>
          <w:sz w:val="24"/>
          <w:szCs w:val="24"/>
        </w:rPr>
        <w:t xml:space="preserve">In order to achieve a sustainable tenure mix in neighbourhoods, the Build to </w:t>
      </w:r>
      <w:proofErr w:type="gramStart"/>
      <w:r w:rsidRPr="004F21F4">
        <w:rPr>
          <w:rFonts w:ascii="Arial" w:hAnsi="Arial" w:cs="Arial"/>
          <w:strike/>
          <w:sz w:val="24"/>
          <w:szCs w:val="24"/>
        </w:rPr>
        <w:t>Rent</w:t>
      </w:r>
      <w:proofErr w:type="gramEnd"/>
      <w:r w:rsidRPr="004F21F4">
        <w:rPr>
          <w:rFonts w:ascii="Arial" w:hAnsi="Arial" w:cs="Arial"/>
          <w:strike/>
          <w:sz w:val="24"/>
          <w:szCs w:val="24"/>
        </w:rPr>
        <w:t xml:space="preserve"> residential typology is predominantly in the open for consideration category.</w:t>
      </w:r>
    </w:p>
    <w:p w14:paraId="463DBDA1" w14:textId="77777777" w:rsidR="005D4329" w:rsidRDefault="005D4329" w:rsidP="005D4329">
      <w:pPr>
        <w:jc w:val="both"/>
        <w:rPr>
          <w:rFonts w:ascii="Arial" w:hAnsi="Arial" w:cs="Arial"/>
          <w:bCs/>
          <w:sz w:val="24"/>
          <w:szCs w:val="24"/>
          <w:highlight w:val="yellow"/>
        </w:rPr>
      </w:pPr>
    </w:p>
    <w:p w14:paraId="49A0B11D" w14:textId="77777777" w:rsidR="005D4329" w:rsidRPr="00B26556" w:rsidRDefault="005D4329" w:rsidP="005D4329">
      <w:pPr>
        <w:pStyle w:val="Default"/>
        <w:rPr>
          <w:rFonts w:ascii="Arial" w:hAnsi="Arial" w:cs="Arial"/>
          <w:b/>
        </w:rPr>
      </w:pPr>
      <w:r w:rsidRPr="00B26556">
        <w:rPr>
          <w:rFonts w:ascii="Arial" w:hAnsi="Arial" w:cs="Arial"/>
          <w:b/>
        </w:rPr>
        <w:t>Chapter 14: Land Use Zoning</w:t>
      </w:r>
    </w:p>
    <w:p w14:paraId="34B78764" w14:textId="77777777" w:rsidR="005D4329" w:rsidRDefault="005D4329" w:rsidP="005D4329">
      <w:pPr>
        <w:spacing w:after="0" w:line="240" w:lineRule="auto"/>
        <w:rPr>
          <w:rFonts w:ascii="Arial" w:hAnsi="Arial" w:cs="Arial"/>
          <w:b/>
          <w:sz w:val="24"/>
          <w:szCs w:val="24"/>
        </w:rPr>
      </w:pPr>
      <w:r w:rsidRPr="00B26556">
        <w:rPr>
          <w:rFonts w:ascii="Arial" w:hAnsi="Arial" w:cs="Arial"/>
          <w:b/>
          <w:sz w:val="24"/>
          <w:szCs w:val="24"/>
        </w:rPr>
        <w:t>Section 14.7.1 Sustainable Residential neighbourhoods – Zone Z1</w:t>
      </w:r>
    </w:p>
    <w:p w14:paraId="7FD1E9B5"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Land-Use Zoning Objective Z1: To protect, provide and improve residential amenities</w:t>
      </w:r>
    </w:p>
    <w:p w14:paraId="32FFB18D" w14:textId="77777777" w:rsidR="005D4329" w:rsidRPr="00B331B9" w:rsidRDefault="005D4329" w:rsidP="005D4329">
      <w:pPr>
        <w:spacing w:after="0" w:line="240" w:lineRule="auto"/>
        <w:rPr>
          <w:rFonts w:ascii="Arial" w:hAnsi="Arial" w:cs="Arial"/>
          <w:b/>
          <w:sz w:val="24"/>
          <w:szCs w:val="24"/>
          <w:u w:val="single"/>
        </w:rPr>
      </w:pPr>
      <w:r w:rsidRPr="00B331B9">
        <w:rPr>
          <w:rFonts w:ascii="Arial" w:hAnsi="Arial" w:cs="Arial"/>
          <w:b/>
          <w:sz w:val="24"/>
          <w:szCs w:val="24"/>
          <w:u w:val="single"/>
        </w:rPr>
        <w:t>Z1 – Open for Consideration Uses</w:t>
      </w:r>
    </w:p>
    <w:p w14:paraId="164B3E2D"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531</w:t>
      </w:r>
    </w:p>
    <w:p w14:paraId="5F9CF08E" w14:textId="77777777" w:rsidR="005D4329" w:rsidRDefault="005D4329" w:rsidP="005D4329">
      <w:pPr>
        <w:rPr>
          <w:rFonts w:cs="Calibri"/>
          <w:strike/>
          <w:szCs w:val="24"/>
        </w:rPr>
      </w:pPr>
    </w:p>
    <w:p w14:paraId="22C557DF" w14:textId="77777777" w:rsidR="005D4329" w:rsidRPr="00B26556" w:rsidRDefault="005D4329" w:rsidP="005D4329">
      <w:pPr>
        <w:jc w:val="both"/>
        <w:rPr>
          <w:rFonts w:ascii="Arial" w:hAnsi="Arial" w:cs="Arial"/>
          <w:bCs/>
          <w:sz w:val="24"/>
          <w:szCs w:val="24"/>
        </w:rPr>
      </w:pPr>
      <w:r w:rsidRPr="00B26556">
        <w:rPr>
          <w:rFonts w:ascii="Arial" w:hAnsi="Arial" w:cs="Arial"/>
          <w:bCs/>
          <w:sz w:val="24"/>
          <w:szCs w:val="24"/>
          <w:highlight w:val="yellow"/>
        </w:rPr>
        <w:t>Pr</w:t>
      </w:r>
      <w:r>
        <w:rPr>
          <w:rFonts w:ascii="Arial" w:hAnsi="Arial" w:cs="Arial"/>
          <w:bCs/>
          <w:sz w:val="24"/>
          <w:szCs w:val="24"/>
          <w:highlight w:val="yellow"/>
        </w:rPr>
        <w:t>oposed Amendment Reference No. 4</w:t>
      </w:r>
    </w:p>
    <w:p w14:paraId="07C8C927" w14:textId="77777777" w:rsidR="005D4329" w:rsidRPr="004F21F4" w:rsidRDefault="005D4329" w:rsidP="005D4329">
      <w:pPr>
        <w:rPr>
          <w:rFonts w:ascii="Arial" w:hAnsi="Arial" w:cs="Arial"/>
          <w:sz w:val="24"/>
          <w:szCs w:val="24"/>
        </w:rPr>
      </w:pPr>
      <w:r w:rsidRPr="004F21F4">
        <w:rPr>
          <w:rFonts w:ascii="Arial" w:hAnsi="Arial" w:cs="Arial"/>
          <w:sz w:val="24"/>
          <w:szCs w:val="24"/>
        </w:rPr>
        <w:t>Delete</w:t>
      </w:r>
      <w:r>
        <w:rPr>
          <w:rFonts w:ascii="Arial" w:hAnsi="Arial" w:cs="Arial"/>
          <w:sz w:val="24"/>
          <w:szCs w:val="24"/>
        </w:rPr>
        <w:t xml:space="preserve"> the following text on page 531 under Z1 - Open for Consideration Uses:</w:t>
      </w:r>
    </w:p>
    <w:p w14:paraId="3CD9870E" w14:textId="77777777" w:rsidR="005D4329" w:rsidRPr="006A1D2D" w:rsidRDefault="005D4329" w:rsidP="005D4329">
      <w:pPr>
        <w:rPr>
          <w:rFonts w:ascii="Arial" w:hAnsi="Arial" w:cs="Arial"/>
          <w:strike/>
          <w:sz w:val="24"/>
          <w:szCs w:val="24"/>
        </w:rPr>
      </w:pPr>
      <w:r w:rsidRPr="006A1D2D">
        <w:rPr>
          <w:rFonts w:ascii="Arial" w:hAnsi="Arial" w:cs="Arial"/>
          <w:strike/>
          <w:sz w:val="24"/>
          <w:szCs w:val="24"/>
        </w:rPr>
        <w:t>Build to Rent</w:t>
      </w:r>
      <w:r>
        <w:rPr>
          <w:rFonts w:ascii="Arial" w:hAnsi="Arial" w:cs="Arial"/>
          <w:strike/>
          <w:sz w:val="24"/>
          <w:szCs w:val="24"/>
        </w:rPr>
        <w:t xml:space="preserve"> residential,</w:t>
      </w:r>
    </w:p>
    <w:p w14:paraId="001EEC2C" w14:textId="77777777" w:rsidR="005D4329" w:rsidRPr="00B26556" w:rsidRDefault="005D4329" w:rsidP="005D4329">
      <w:pPr>
        <w:pStyle w:val="Default"/>
        <w:rPr>
          <w:rFonts w:ascii="Arial" w:hAnsi="Arial" w:cs="Arial"/>
          <w:b/>
        </w:rPr>
      </w:pPr>
      <w:r w:rsidRPr="00B26556">
        <w:rPr>
          <w:rFonts w:ascii="Arial" w:hAnsi="Arial" w:cs="Arial"/>
          <w:b/>
        </w:rPr>
        <w:t>Chapter 14: Land Use Zoning</w:t>
      </w:r>
    </w:p>
    <w:p w14:paraId="3D56FD6C" w14:textId="77777777" w:rsidR="005D4329" w:rsidRDefault="005D4329" w:rsidP="005D4329">
      <w:pPr>
        <w:spacing w:after="0" w:line="240" w:lineRule="auto"/>
        <w:rPr>
          <w:rFonts w:ascii="Arial" w:hAnsi="Arial" w:cs="Arial"/>
          <w:b/>
          <w:sz w:val="24"/>
          <w:szCs w:val="24"/>
        </w:rPr>
      </w:pPr>
      <w:r w:rsidRPr="00BA7F3A">
        <w:rPr>
          <w:rFonts w:ascii="Arial" w:hAnsi="Arial" w:cs="Arial"/>
          <w:b/>
          <w:sz w:val="24"/>
          <w:szCs w:val="24"/>
        </w:rPr>
        <w:t>Sectio</w:t>
      </w:r>
      <w:r>
        <w:rPr>
          <w:rFonts w:ascii="Arial" w:hAnsi="Arial" w:cs="Arial"/>
          <w:b/>
          <w:sz w:val="24"/>
          <w:szCs w:val="24"/>
        </w:rPr>
        <w:t>n 14.7.2 Residential Neighbourhoods (Conservation Areas) – Zone Z2</w:t>
      </w:r>
    </w:p>
    <w:p w14:paraId="4D44DCDF"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Land-Use Zoning Objective Z2</w:t>
      </w:r>
      <w:r w:rsidRPr="004F21F4">
        <w:rPr>
          <w:rFonts w:ascii="Arial" w:hAnsi="Arial" w:cs="Arial"/>
          <w:b/>
          <w:sz w:val="24"/>
          <w:szCs w:val="24"/>
        </w:rPr>
        <w:t xml:space="preserve">: </w:t>
      </w:r>
      <w:r>
        <w:rPr>
          <w:rFonts w:ascii="Arial" w:hAnsi="Arial" w:cs="Arial"/>
          <w:b/>
          <w:sz w:val="24"/>
          <w:szCs w:val="24"/>
        </w:rPr>
        <w:t>To protect and/or improve the amenities of residential conservation areas</w:t>
      </w:r>
    </w:p>
    <w:p w14:paraId="65DA278F"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Z2</w:t>
      </w:r>
      <w:r w:rsidRPr="004F21F4">
        <w:rPr>
          <w:rFonts w:ascii="Arial" w:hAnsi="Arial" w:cs="Arial"/>
          <w:b/>
          <w:sz w:val="24"/>
          <w:szCs w:val="24"/>
        </w:rPr>
        <w:t>-Open for Consideration</w:t>
      </w:r>
      <w:r>
        <w:rPr>
          <w:rFonts w:ascii="Arial" w:hAnsi="Arial" w:cs="Arial"/>
          <w:b/>
          <w:sz w:val="24"/>
          <w:szCs w:val="24"/>
        </w:rPr>
        <w:t xml:space="preserve"> Uses</w:t>
      </w:r>
    </w:p>
    <w:p w14:paraId="7D2C7CE6"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Page 532</w:t>
      </w:r>
    </w:p>
    <w:p w14:paraId="2EC08F99" w14:textId="77777777" w:rsidR="005D4329" w:rsidRDefault="005D4329" w:rsidP="005D4329">
      <w:pPr>
        <w:rPr>
          <w:rFonts w:ascii="Arial" w:hAnsi="Arial" w:cs="Arial"/>
          <w:strike/>
          <w:sz w:val="24"/>
          <w:szCs w:val="24"/>
        </w:rPr>
      </w:pPr>
    </w:p>
    <w:p w14:paraId="2C51A6CB" w14:textId="77777777" w:rsidR="005D4329" w:rsidRPr="00B26556" w:rsidRDefault="005D4329" w:rsidP="005D4329">
      <w:pPr>
        <w:jc w:val="both"/>
        <w:rPr>
          <w:rFonts w:ascii="Arial" w:hAnsi="Arial" w:cs="Arial"/>
          <w:bCs/>
          <w:sz w:val="24"/>
          <w:szCs w:val="24"/>
        </w:rPr>
      </w:pPr>
      <w:r w:rsidRPr="00B26556">
        <w:rPr>
          <w:rFonts w:ascii="Arial" w:hAnsi="Arial" w:cs="Arial"/>
          <w:bCs/>
          <w:sz w:val="24"/>
          <w:szCs w:val="24"/>
          <w:highlight w:val="yellow"/>
        </w:rPr>
        <w:t>Pr</w:t>
      </w:r>
      <w:r>
        <w:rPr>
          <w:rFonts w:ascii="Arial" w:hAnsi="Arial" w:cs="Arial"/>
          <w:bCs/>
          <w:sz w:val="24"/>
          <w:szCs w:val="24"/>
          <w:highlight w:val="yellow"/>
        </w:rPr>
        <w:t xml:space="preserve">oposed Amendment Reference No. </w:t>
      </w:r>
      <w:r w:rsidRPr="00B6171E">
        <w:rPr>
          <w:rFonts w:ascii="Arial" w:hAnsi="Arial" w:cs="Arial"/>
          <w:bCs/>
          <w:sz w:val="24"/>
          <w:szCs w:val="24"/>
          <w:highlight w:val="yellow"/>
        </w:rPr>
        <w:t>5</w:t>
      </w:r>
    </w:p>
    <w:p w14:paraId="537874CA" w14:textId="77777777" w:rsidR="005D4329" w:rsidRPr="006A1D2D" w:rsidRDefault="005D4329" w:rsidP="005D4329">
      <w:pPr>
        <w:rPr>
          <w:rFonts w:ascii="Arial" w:hAnsi="Arial" w:cs="Arial"/>
          <w:sz w:val="24"/>
          <w:szCs w:val="24"/>
        </w:rPr>
      </w:pPr>
      <w:r w:rsidRPr="006A1D2D">
        <w:rPr>
          <w:rFonts w:ascii="Arial" w:hAnsi="Arial" w:cs="Arial"/>
          <w:sz w:val="24"/>
          <w:szCs w:val="24"/>
        </w:rPr>
        <w:t>Delete the following text</w:t>
      </w:r>
      <w:r>
        <w:rPr>
          <w:rFonts w:ascii="Arial" w:hAnsi="Arial" w:cs="Arial"/>
          <w:sz w:val="24"/>
          <w:szCs w:val="24"/>
        </w:rPr>
        <w:t xml:space="preserve"> on page 532 under Z2 - Open for Consideration Uses</w:t>
      </w:r>
      <w:r w:rsidRPr="006A1D2D">
        <w:rPr>
          <w:rFonts w:ascii="Arial" w:hAnsi="Arial" w:cs="Arial"/>
          <w:sz w:val="24"/>
          <w:szCs w:val="24"/>
        </w:rPr>
        <w:t>:</w:t>
      </w:r>
    </w:p>
    <w:p w14:paraId="4F254851" w14:textId="77777777" w:rsidR="005D4329" w:rsidRPr="006A1D2D" w:rsidRDefault="005D4329" w:rsidP="005D4329">
      <w:pPr>
        <w:rPr>
          <w:rFonts w:ascii="Arial" w:hAnsi="Arial" w:cs="Arial"/>
          <w:strike/>
          <w:sz w:val="24"/>
          <w:szCs w:val="24"/>
        </w:rPr>
      </w:pPr>
      <w:r w:rsidRPr="006A1D2D">
        <w:rPr>
          <w:rFonts w:ascii="Arial" w:hAnsi="Arial" w:cs="Arial"/>
          <w:strike/>
          <w:sz w:val="24"/>
          <w:szCs w:val="24"/>
        </w:rPr>
        <w:lastRenderedPageBreak/>
        <w:t>Build to Rent</w:t>
      </w:r>
      <w:r>
        <w:rPr>
          <w:rFonts w:ascii="Arial" w:hAnsi="Arial" w:cs="Arial"/>
          <w:strike/>
          <w:sz w:val="24"/>
          <w:szCs w:val="24"/>
        </w:rPr>
        <w:t xml:space="preserve"> residential,</w:t>
      </w:r>
    </w:p>
    <w:p w14:paraId="64542A95" w14:textId="77777777" w:rsidR="005D4329" w:rsidRDefault="005D4329" w:rsidP="005D4329">
      <w:pPr>
        <w:rPr>
          <w:rFonts w:ascii="Arial" w:hAnsi="Arial" w:cs="Arial"/>
          <w:strike/>
          <w:sz w:val="24"/>
          <w:szCs w:val="24"/>
        </w:rPr>
      </w:pPr>
    </w:p>
    <w:p w14:paraId="0BF28A32" w14:textId="77777777" w:rsidR="005D4329" w:rsidRPr="00B26556" w:rsidRDefault="005D4329" w:rsidP="005D4329">
      <w:pPr>
        <w:pStyle w:val="Default"/>
        <w:rPr>
          <w:rFonts w:ascii="Arial" w:hAnsi="Arial" w:cs="Arial"/>
          <w:b/>
        </w:rPr>
      </w:pPr>
      <w:r w:rsidRPr="00B26556">
        <w:rPr>
          <w:rFonts w:ascii="Arial" w:hAnsi="Arial" w:cs="Arial"/>
          <w:b/>
        </w:rPr>
        <w:t>Chapter 14: Land Use Zoning</w:t>
      </w:r>
    </w:p>
    <w:p w14:paraId="72AC6180"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Section 14.7.4 Key Urban Villages and Urban Villages – Zone Z4</w:t>
      </w:r>
    </w:p>
    <w:p w14:paraId="5A255453"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Land-Use Zoning Objective Z4: To provide for and improve mixed-services facilities</w:t>
      </w:r>
    </w:p>
    <w:p w14:paraId="6520D27C" w14:textId="77777777" w:rsidR="005D4329" w:rsidRPr="00BA7F3A" w:rsidRDefault="005D4329" w:rsidP="005D4329">
      <w:pPr>
        <w:spacing w:after="0" w:line="240" w:lineRule="auto"/>
        <w:rPr>
          <w:rFonts w:ascii="Arial" w:hAnsi="Arial" w:cs="Arial"/>
          <w:b/>
          <w:sz w:val="24"/>
          <w:szCs w:val="24"/>
          <w:u w:val="single"/>
        </w:rPr>
      </w:pPr>
      <w:r w:rsidRPr="00BA7F3A">
        <w:rPr>
          <w:rFonts w:ascii="Arial" w:hAnsi="Arial" w:cs="Arial"/>
          <w:b/>
          <w:sz w:val="24"/>
          <w:szCs w:val="24"/>
          <w:u w:val="single"/>
        </w:rPr>
        <w:t>Z4-Open for Consideration</w:t>
      </w:r>
      <w:r>
        <w:rPr>
          <w:rFonts w:ascii="Arial" w:hAnsi="Arial" w:cs="Arial"/>
          <w:b/>
          <w:sz w:val="24"/>
          <w:szCs w:val="24"/>
          <w:u w:val="single"/>
        </w:rPr>
        <w:t xml:space="preserve"> Uses</w:t>
      </w:r>
    </w:p>
    <w:p w14:paraId="3737D330"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Page 534</w:t>
      </w:r>
    </w:p>
    <w:p w14:paraId="73ADA0BE" w14:textId="77777777" w:rsidR="005D4329" w:rsidRDefault="005D4329" w:rsidP="005D4329">
      <w:pPr>
        <w:rPr>
          <w:rFonts w:ascii="Arial" w:hAnsi="Arial" w:cs="Arial"/>
          <w:strike/>
          <w:sz w:val="24"/>
          <w:szCs w:val="24"/>
        </w:rPr>
      </w:pPr>
    </w:p>
    <w:p w14:paraId="66FC7DBA" w14:textId="77777777" w:rsidR="005D4329" w:rsidRPr="00B26556" w:rsidRDefault="005D4329" w:rsidP="005D4329">
      <w:pPr>
        <w:jc w:val="both"/>
        <w:rPr>
          <w:rFonts w:ascii="Arial" w:hAnsi="Arial" w:cs="Arial"/>
          <w:bCs/>
          <w:sz w:val="24"/>
          <w:szCs w:val="24"/>
        </w:rPr>
      </w:pPr>
      <w:r w:rsidRPr="00B26556">
        <w:rPr>
          <w:rFonts w:ascii="Arial" w:hAnsi="Arial" w:cs="Arial"/>
          <w:bCs/>
          <w:sz w:val="24"/>
          <w:szCs w:val="24"/>
          <w:highlight w:val="yellow"/>
        </w:rPr>
        <w:t>Pr</w:t>
      </w:r>
      <w:r>
        <w:rPr>
          <w:rFonts w:ascii="Arial" w:hAnsi="Arial" w:cs="Arial"/>
          <w:bCs/>
          <w:sz w:val="24"/>
          <w:szCs w:val="24"/>
          <w:highlight w:val="yellow"/>
        </w:rPr>
        <w:t xml:space="preserve">oposed Amendment Reference No. </w:t>
      </w:r>
      <w:r w:rsidRPr="00B6171E">
        <w:rPr>
          <w:rFonts w:ascii="Arial" w:hAnsi="Arial" w:cs="Arial"/>
          <w:bCs/>
          <w:sz w:val="24"/>
          <w:szCs w:val="24"/>
          <w:highlight w:val="yellow"/>
        </w:rPr>
        <w:t>6</w:t>
      </w:r>
    </w:p>
    <w:p w14:paraId="7F702734" w14:textId="77777777" w:rsidR="005D4329" w:rsidRPr="004F21F4" w:rsidRDefault="005D4329" w:rsidP="005D4329">
      <w:pPr>
        <w:rPr>
          <w:rFonts w:ascii="Arial" w:hAnsi="Arial" w:cs="Arial"/>
          <w:sz w:val="24"/>
          <w:szCs w:val="24"/>
        </w:rPr>
      </w:pPr>
      <w:r w:rsidRPr="004F21F4">
        <w:rPr>
          <w:rFonts w:ascii="Arial" w:hAnsi="Arial" w:cs="Arial"/>
          <w:sz w:val="24"/>
          <w:szCs w:val="24"/>
        </w:rPr>
        <w:t>Delete the following text</w:t>
      </w:r>
      <w:r>
        <w:rPr>
          <w:rFonts w:ascii="Arial" w:hAnsi="Arial" w:cs="Arial"/>
          <w:sz w:val="24"/>
          <w:szCs w:val="24"/>
        </w:rPr>
        <w:t xml:space="preserve"> on page 534 under Z4 - Open for Consideration Uses</w:t>
      </w:r>
      <w:r w:rsidRPr="004F21F4">
        <w:rPr>
          <w:rFonts w:ascii="Arial" w:hAnsi="Arial" w:cs="Arial"/>
          <w:sz w:val="24"/>
          <w:szCs w:val="24"/>
        </w:rPr>
        <w:t>:</w:t>
      </w:r>
    </w:p>
    <w:p w14:paraId="0C9CDF8B" w14:textId="77777777" w:rsidR="005D4329" w:rsidRDefault="005D4329" w:rsidP="005D4329">
      <w:pPr>
        <w:rPr>
          <w:rFonts w:ascii="Arial" w:hAnsi="Arial" w:cs="Arial"/>
          <w:strike/>
          <w:sz w:val="24"/>
          <w:szCs w:val="24"/>
        </w:rPr>
      </w:pPr>
      <w:r w:rsidRPr="004F21F4">
        <w:rPr>
          <w:rFonts w:ascii="Arial" w:hAnsi="Arial" w:cs="Arial"/>
          <w:strike/>
          <w:sz w:val="24"/>
          <w:szCs w:val="24"/>
        </w:rPr>
        <w:t>Build to Rent</w:t>
      </w:r>
      <w:r>
        <w:rPr>
          <w:rFonts w:ascii="Arial" w:hAnsi="Arial" w:cs="Arial"/>
          <w:strike/>
          <w:sz w:val="24"/>
          <w:szCs w:val="24"/>
        </w:rPr>
        <w:t xml:space="preserve"> residential,</w:t>
      </w:r>
    </w:p>
    <w:p w14:paraId="79388F77" w14:textId="77777777" w:rsidR="005D4329" w:rsidRDefault="005D4329" w:rsidP="005D4329">
      <w:pPr>
        <w:rPr>
          <w:rFonts w:ascii="Arial" w:hAnsi="Arial" w:cs="Arial"/>
          <w:strike/>
          <w:sz w:val="24"/>
          <w:szCs w:val="24"/>
        </w:rPr>
      </w:pPr>
    </w:p>
    <w:p w14:paraId="09E4BC5F" w14:textId="77777777" w:rsidR="005D4329" w:rsidRPr="00B26556" w:rsidRDefault="005D4329" w:rsidP="005D4329">
      <w:pPr>
        <w:pStyle w:val="Default"/>
        <w:rPr>
          <w:rFonts w:ascii="Arial" w:hAnsi="Arial" w:cs="Arial"/>
          <w:b/>
        </w:rPr>
      </w:pPr>
      <w:r w:rsidRPr="00B26556">
        <w:rPr>
          <w:rFonts w:ascii="Arial" w:hAnsi="Arial" w:cs="Arial"/>
          <w:b/>
        </w:rPr>
        <w:t>Chapter 14: Land Use Zoning</w:t>
      </w:r>
    </w:p>
    <w:p w14:paraId="271B50F8"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Section 14.7.5 City Centre – Zone Z5</w:t>
      </w:r>
    </w:p>
    <w:p w14:paraId="5DFE065F"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Land-Use Zoning Objective Z5: To consolidate and facilitate the development of the central area, and to identify, reinforce, strengthen and protect its civic design character and dignity.</w:t>
      </w:r>
    </w:p>
    <w:p w14:paraId="754740E7" w14:textId="77777777" w:rsidR="005D4329" w:rsidRPr="00BA7F3A" w:rsidRDefault="005D4329" w:rsidP="005D4329">
      <w:pPr>
        <w:spacing w:after="0" w:line="240" w:lineRule="auto"/>
        <w:rPr>
          <w:rFonts w:ascii="Arial" w:hAnsi="Arial" w:cs="Arial"/>
          <w:b/>
          <w:sz w:val="24"/>
          <w:szCs w:val="24"/>
          <w:u w:val="single"/>
        </w:rPr>
      </w:pPr>
      <w:r w:rsidRPr="00BA7F3A">
        <w:rPr>
          <w:rFonts w:ascii="Arial" w:hAnsi="Arial" w:cs="Arial"/>
          <w:b/>
          <w:sz w:val="24"/>
          <w:szCs w:val="24"/>
          <w:u w:val="single"/>
        </w:rPr>
        <w:t>Z5-Open for Consideration</w:t>
      </w:r>
      <w:r>
        <w:rPr>
          <w:rFonts w:ascii="Arial" w:hAnsi="Arial" w:cs="Arial"/>
          <w:b/>
          <w:sz w:val="24"/>
          <w:szCs w:val="24"/>
          <w:u w:val="single"/>
        </w:rPr>
        <w:t xml:space="preserve"> Uses</w:t>
      </w:r>
    </w:p>
    <w:p w14:paraId="4991C851"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Page 536</w:t>
      </w:r>
    </w:p>
    <w:p w14:paraId="78BEA290" w14:textId="77777777" w:rsidR="005D4329" w:rsidRDefault="005D4329" w:rsidP="005D4329">
      <w:pPr>
        <w:rPr>
          <w:rFonts w:ascii="Arial" w:hAnsi="Arial" w:cs="Arial"/>
          <w:strike/>
          <w:sz w:val="24"/>
          <w:szCs w:val="24"/>
        </w:rPr>
      </w:pPr>
    </w:p>
    <w:p w14:paraId="446F7808" w14:textId="77777777" w:rsidR="005D4329" w:rsidRPr="00B26556" w:rsidRDefault="005D4329" w:rsidP="005D4329">
      <w:pPr>
        <w:jc w:val="both"/>
        <w:rPr>
          <w:rFonts w:ascii="Arial" w:hAnsi="Arial" w:cs="Arial"/>
          <w:bCs/>
          <w:sz w:val="24"/>
          <w:szCs w:val="24"/>
        </w:rPr>
      </w:pPr>
      <w:r w:rsidRPr="00B26556">
        <w:rPr>
          <w:rFonts w:ascii="Arial" w:hAnsi="Arial" w:cs="Arial"/>
          <w:bCs/>
          <w:sz w:val="24"/>
          <w:szCs w:val="24"/>
          <w:highlight w:val="yellow"/>
        </w:rPr>
        <w:t>Pr</w:t>
      </w:r>
      <w:r>
        <w:rPr>
          <w:rFonts w:ascii="Arial" w:hAnsi="Arial" w:cs="Arial"/>
          <w:bCs/>
          <w:sz w:val="24"/>
          <w:szCs w:val="24"/>
          <w:highlight w:val="yellow"/>
        </w:rPr>
        <w:t>oposed Amendment Reference No. 7</w:t>
      </w:r>
    </w:p>
    <w:p w14:paraId="035C9F5B" w14:textId="77777777" w:rsidR="005D4329" w:rsidRPr="004F21F4" w:rsidRDefault="005D4329" w:rsidP="005D4329">
      <w:pPr>
        <w:rPr>
          <w:rFonts w:ascii="Arial" w:hAnsi="Arial" w:cs="Arial"/>
          <w:sz w:val="24"/>
          <w:szCs w:val="24"/>
        </w:rPr>
      </w:pPr>
      <w:r w:rsidRPr="004F21F4">
        <w:rPr>
          <w:rFonts w:ascii="Arial" w:hAnsi="Arial" w:cs="Arial"/>
          <w:sz w:val="24"/>
          <w:szCs w:val="24"/>
        </w:rPr>
        <w:t>Delete the following text</w:t>
      </w:r>
      <w:r>
        <w:rPr>
          <w:rFonts w:ascii="Arial" w:hAnsi="Arial" w:cs="Arial"/>
          <w:sz w:val="24"/>
          <w:szCs w:val="24"/>
        </w:rPr>
        <w:t xml:space="preserve"> on page 536 under </w:t>
      </w:r>
      <w:r w:rsidRPr="00BA7F3A">
        <w:rPr>
          <w:rFonts w:ascii="Arial" w:hAnsi="Arial" w:cs="Arial"/>
          <w:sz w:val="24"/>
          <w:szCs w:val="24"/>
          <w:u w:val="single"/>
        </w:rPr>
        <w:t>Z5 - Open for Consideration Uses</w:t>
      </w:r>
      <w:r w:rsidRPr="004F21F4">
        <w:rPr>
          <w:rFonts w:ascii="Arial" w:hAnsi="Arial" w:cs="Arial"/>
          <w:sz w:val="24"/>
          <w:szCs w:val="24"/>
        </w:rPr>
        <w:t>:</w:t>
      </w:r>
    </w:p>
    <w:p w14:paraId="135A0E60" w14:textId="77777777" w:rsidR="005D4329" w:rsidRDefault="005D4329" w:rsidP="005D4329">
      <w:pPr>
        <w:rPr>
          <w:rFonts w:ascii="Arial" w:hAnsi="Arial" w:cs="Arial"/>
          <w:strike/>
          <w:sz w:val="24"/>
          <w:szCs w:val="24"/>
        </w:rPr>
      </w:pPr>
      <w:r w:rsidRPr="004F21F4">
        <w:rPr>
          <w:rFonts w:ascii="Arial" w:hAnsi="Arial" w:cs="Arial"/>
          <w:strike/>
          <w:sz w:val="24"/>
          <w:szCs w:val="24"/>
        </w:rPr>
        <w:t>Build to Rent</w:t>
      </w:r>
      <w:r>
        <w:rPr>
          <w:rFonts w:ascii="Arial" w:hAnsi="Arial" w:cs="Arial"/>
          <w:strike/>
          <w:sz w:val="24"/>
          <w:szCs w:val="24"/>
        </w:rPr>
        <w:t xml:space="preserve"> residential,</w:t>
      </w:r>
    </w:p>
    <w:p w14:paraId="00E621B7" w14:textId="77777777" w:rsidR="005D4329" w:rsidRDefault="005D4329" w:rsidP="005D4329">
      <w:pPr>
        <w:rPr>
          <w:rFonts w:ascii="Arial" w:hAnsi="Arial" w:cs="Arial"/>
          <w:strike/>
          <w:sz w:val="24"/>
          <w:szCs w:val="24"/>
        </w:rPr>
      </w:pPr>
    </w:p>
    <w:p w14:paraId="17A81CBC" w14:textId="77777777" w:rsidR="005D4329" w:rsidRPr="00B26556" w:rsidRDefault="005D4329" w:rsidP="005D4329">
      <w:pPr>
        <w:pStyle w:val="Default"/>
        <w:rPr>
          <w:rFonts w:ascii="Arial" w:hAnsi="Arial" w:cs="Arial"/>
          <w:b/>
        </w:rPr>
      </w:pPr>
      <w:r w:rsidRPr="00B26556">
        <w:rPr>
          <w:rFonts w:ascii="Arial" w:hAnsi="Arial" w:cs="Arial"/>
          <w:b/>
        </w:rPr>
        <w:t>Chapter 14: Land Use Zoning</w:t>
      </w:r>
    </w:p>
    <w:p w14:paraId="27631511"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Section 14.7.10 Inner Suburban and Inner City Sustainable Mixed-Uses – Zone Z10</w:t>
      </w:r>
    </w:p>
    <w:p w14:paraId="1F2BF812"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Land-Use Zoning Objective Z10: To consolidate and facilitate the development of inner city and inner suburban sites for mixed-uses.</w:t>
      </w:r>
    </w:p>
    <w:p w14:paraId="74D87FEC" w14:textId="77777777" w:rsidR="005D4329" w:rsidRPr="00BA7F3A" w:rsidRDefault="005D4329" w:rsidP="005D4329">
      <w:pPr>
        <w:spacing w:after="0" w:line="240" w:lineRule="auto"/>
        <w:rPr>
          <w:rFonts w:ascii="Arial" w:hAnsi="Arial" w:cs="Arial"/>
          <w:b/>
          <w:sz w:val="24"/>
          <w:szCs w:val="24"/>
          <w:u w:val="single"/>
        </w:rPr>
      </w:pPr>
      <w:r w:rsidRPr="00BA7F3A">
        <w:rPr>
          <w:rFonts w:ascii="Arial" w:hAnsi="Arial" w:cs="Arial"/>
          <w:b/>
          <w:sz w:val="24"/>
          <w:szCs w:val="24"/>
          <w:u w:val="single"/>
        </w:rPr>
        <w:t>Z10-Open for Consideration</w:t>
      </w:r>
    </w:p>
    <w:p w14:paraId="30B07DD4"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Page 541</w:t>
      </w:r>
    </w:p>
    <w:p w14:paraId="7DD7FE43" w14:textId="77777777" w:rsidR="005D4329" w:rsidRDefault="005D4329" w:rsidP="005D4329">
      <w:pPr>
        <w:rPr>
          <w:rFonts w:ascii="Arial" w:hAnsi="Arial" w:cs="Arial"/>
          <w:strike/>
          <w:sz w:val="24"/>
          <w:szCs w:val="24"/>
        </w:rPr>
      </w:pPr>
    </w:p>
    <w:p w14:paraId="62423EC8" w14:textId="77777777" w:rsidR="005D4329" w:rsidRPr="00B26556" w:rsidRDefault="005D4329" w:rsidP="005D4329">
      <w:pPr>
        <w:jc w:val="both"/>
        <w:rPr>
          <w:rFonts w:ascii="Arial" w:hAnsi="Arial" w:cs="Arial"/>
          <w:bCs/>
          <w:sz w:val="24"/>
          <w:szCs w:val="24"/>
        </w:rPr>
      </w:pPr>
      <w:r w:rsidRPr="00B26556">
        <w:rPr>
          <w:rFonts w:ascii="Arial" w:hAnsi="Arial" w:cs="Arial"/>
          <w:bCs/>
          <w:sz w:val="24"/>
          <w:szCs w:val="24"/>
          <w:highlight w:val="yellow"/>
        </w:rPr>
        <w:t>Pr</w:t>
      </w:r>
      <w:r>
        <w:rPr>
          <w:rFonts w:ascii="Arial" w:hAnsi="Arial" w:cs="Arial"/>
          <w:bCs/>
          <w:sz w:val="24"/>
          <w:szCs w:val="24"/>
          <w:highlight w:val="yellow"/>
        </w:rPr>
        <w:t xml:space="preserve">oposed Amendment Reference No. </w:t>
      </w:r>
      <w:r w:rsidRPr="00B6171E">
        <w:rPr>
          <w:rFonts w:ascii="Arial" w:hAnsi="Arial" w:cs="Arial"/>
          <w:bCs/>
          <w:sz w:val="24"/>
          <w:szCs w:val="24"/>
          <w:highlight w:val="yellow"/>
        </w:rPr>
        <w:t>8</w:t>
      </w:r>
    </w:p>
    <w:p w14:paraId="226F74F8" w14:textId="77777777" w:rsidR="005D4329" w:rsidRPr="004F21F4" w:rsidRDefault="005D4329" w:rsidP="005D4329">
      <w:pPr>
        <w:rPr>
          <w:rFonts w:ascii="Arial" w:hAnsi="Arial" w:cs="Arial"/>
          <w:sz w:val="24"/>
          <w:szCs w:val="24"/>
        </w:rPr>
      </w:pPr>
      <w:r w:rsidRPr="004F21F4">
        <w:rPr>
          <w:rFonts w:ascii="Arial" w:hAnsi="Arial" w:cs="Arial"/>
          <w:sz w:val="24"/>
          <w:szCs w:val="24"/>
        </w:rPr>
        <w:t>Delete the following text</w:t>
      </w:r>
      <w:r>
        <w:rPr>
          <w:rFonts w:ascii="Arial" w:hAnsi="Arial" w:cs="Arial"/>
          <w:sz w:val="24"/>
          <w:szCs w:val="24"/>
        </w:rPr>
        <w:t xml:space="preserve"> on page 541 under </w:t>
      </w:r>
      <w:r>
        <w:rPr>
          <w:rFonts w:ascii="Arial" w:hAnsi="Arial" w:cs="Arial"/>
          <w:sz w:val="24"/>
          <w:szCs w:val="24"/>
          <w:u w:val="single"/>
        </w:rPr>
        <w:t>Z10</w:t>
      </w:r>
      <w:r w:rsidRPr="00BA7F3A">
        <w:rPr>
          <w:rFonts w:ascii="Arial" w:hAnsi="Arial" w:cs="Arial"/>
          <w:sz w:val="24"/>
          <w:szCs w:val="24"/>
          <w:u w:val="single"/>
        </w:rPr>
        <w:t xml:space="preserve"> - Open for Consideration Uses</w:t>
      </w:r>
      <w:r w:rsidRPr="004F21F4">
        <w:rPr>
          <w:rFonts w:ascii="Arial" w:hAnsi="Arial" w:cs="Arial"/>
          <w:sz w:val="24"/>
          <w:szCs w:val="24"/>
        </w:rPr>
        <w:t>:</w:t>
      </w:r>
    </w:p>
    <w:p w14:paraId="28E720AB" w14:textId="77777777" w:rsidR="005D4329" w:rsidRDefault="005D4329" w:rsidP="005D4329">
      <w:pPr>
        <w:rPr>
          <w:rFonts w:ascii="Arial" w:hAnsi="Arial" w:cs="Arial"/>
          <w:strike/>
          <w:sz w:val="24"/>
          <w:szCs w:val="24"/>
        </w:rPr>
      </w:pPr>
      <w:r w:rsidRPr="004F21F4">
        <w:rPr>
          <w:rFonts w:ascii="Arial" w:hAnsi="Arial" w:cs="Arial"/>
          <w:strike/>
          <w:sz w:val="24"/>
          <w:szCs w:val="24"/>
        </w:rPr>
        <w:t>Build to Rent</w:t>
      </w:r>
      <w:r>
        <w:rPr>
          <w:rFonts w:ascii="Arial" w:hAnsi="Arial" w:cs="Arial"/>
          <w:strike/>
          <w:sz w:val="24"/>
          <w:szCs w:val="24"/>
        </w:rPr>
        <w:t xml:space="preserve"> residential,</w:t>
      </w:r>
    </w:p>
    <w:p w14:paraId="45DCFA0A" w14:textId="77777777" w:rsidR="005D4329" w:rsidRDefault="005D4329" w:rsidP="005D4329">
      <w:pPr>
        <w:rPr>
          <w:rFonts w:ascii="Arial" w:hAnsi="Arial" w:cs="Arial"/>
          <w:strike/>
          <w:sz w:val="24"/>
          <w:szCs w:val="24"/>
        </w:rPr>
      </w:pPr>
    </w:p>
    <w:p w14:paraId="49713B22" w14:textId="77777777" w:rsidR="005D4329" w:rsidRPr="00B26556" w:rsidRDefault="005D4329" w:rsidP="005D4329">
      <w:pPr>
        <w:pStyle w:val="Default"/>
        <w:rPr>
          <w:rFonts w:ascii="Arial" w:hAnsi="Arial" w:cs="Arial"/>
          <w:b/>
        </w:rPr>
      </w:pPr>
      <w:r w:rsidRPr="00B26556">
        <w:rPr>
          <w:rFonts w:ascii="Arial" w:hAnsi="Arial" w:cs="Arial"/>
          <w:b/>
        </w:rPr>
        <w:t>Chapter 14: Land Use Zoning</w:t>
      </w:r>
    </w:p>
    <w:p w14:paraId="17F6579A"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Section 14.7.12 Institutional Land (Future Development Potential) – Zone Z12</w:t>
      </w:r>
    </w:p>
    <w:p w14:paraId="608B7706"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lastRenderedPageBreak/>
        <w:t>Land-Use Zoning Objective Z12: To ensure existing environmental amenities are protected in the predominantly residential future use of these lands.</w:t>
      </w:r>
    </w:p>
    <w:p w14:paraId="61621757" w14:textId="77777777" w:rsidR="005D4329" w:rsidRPr="00BA7F3A" w:rsidRDefault="005D4329" w:rsidP="005D4329">
      <w:pPr>
        <w:spacing w:after="0" w:line="240" w:lineRule="auto"/>
        <w:rPr>
          <w:rFonts w:ascii="Arial" w:hAnsi="Arial" w:cs="Arial"/>
          <w:b/>
          <w:sz w:val="24"/>
          <w:szCs w:val="24"/>
          <w:u w:val="single"/>
        </w:rPr>
      </w:pPr>
      <w:r w:rsidRPr="00BA7F3A">
        <w:rPr>
          <w:rFonts w:ascii="Arial" w:hAnsi="Arial" w:cs="Arial"/>
          <w:b/>
          <w:sz w:val="24"/>
          <w:szCs w:val="24"/>
          <w:u w:val="single"/>
        </w:rPr>
        <w:t>Z12-Open for Consideration</w:t>
      </w:r>
    </w:p>
    <w:p w14:paraId="0B264F9B"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Page 543</w:t>
      </w:r>
    </w:p>
    <w:p w14:paraId="57C8AF78" w14:textId="77777777" w:rsidR="005D4329" w:rsidRDefault="005D4329" w:rsidP="005D4329">
      <w:pPr>
        <w:rPr>
          <w:rFonts w:ascii="Arial" w:hAnsi="Arial" w:cs="Arial"/>
          <w:strike/>
          <w:sz w:val="24"/>
          <w:szCs w:val="24"/>
        </w:rPr>
      </w:pPr>
    </w:p>
    <w:p w14:paraId="49007758" w14:textId="77777777" w:rsidR="005D4329" w:rsidRPr="00B26556" w:rsidRDefault="005D4329" w:rsidP="005D4329">
      <w:pPr>
        <w:jc w:val="both"/>
        <w:rPr>
          <w:rFonts w:ascii="Arial" w:hAnsi="Arial" w:cs="Arial"/>
          <w:bCs/>
          <w:sz w:val="24"/>
          <w:szCs w:val="24"/>
        </w:rPr>
      </w:pPr>
      <w:r w:rsidRPr="00B6171E">
        <w:rPr>
          <w:rFonts w:ascii="Arial" w:hAnsi="Arial" w:cs="Arial"/>
          <w:bCs/>
          <w:sz w:val="24"/>
          <w:szCs w:val="24"/>
          <w:highlight w:val="yellow"/>
        </w:rPr>
        <w:t>Proposed Amendment Reference No. 9</w:t>
      </w:r>
    </w:p>
    <w:p w14:paraId="31EF4243" w14:textId="77777777" w:rsidR="005D4329" w:rsidRPr="004F21F4" w:rsidRDefault="005D4329" w:rsidP="005D4329">
      <w:pPr>
        <w:rPr>
          <w:rFonts w:ascii="Arial" w:hAnsi="Arial" w:cs="Arial"/>
          <w:sz w:val="24"/>
          <w:szCs w:val="24"/>
        </w:rPr>
      </w:pPr>
      <w:r w:rsidRPr="004F21F4">
        <w:rPr>
          <w:rFonts w:ascii="Arial" w:hAnsi="Arial" w:cs="Arial"/>
          <w:sz w:val="24"/>
          <w:szCs w:val="24"/>
        </w:rPr>
        <w:t>Delete the following text</w:t>
      </w:r>
      <w:r>
        <w:rPr>
          <w:rFonts w:ascii="Arial" w:hAnsi="Arial" w:cs="Arial"/>
          <w:sz w:val="24"/>
          <w:szCs w:val="24"/>
        </w:rPr>
        <w:t xml:space="preserve"> on page 543 under </w:t>
      </w:r>
      <w:r>
        <w:rPr>
          <w:rFonts w:ascii="Arial" w:hAnsi="Arial" w:cs="Arial"/>
          <w:sz w:val="24"/>
          <w:szCs w:val="24"/>
          <w:u w:val="single"/>
        </w:rPr>
        <w:t>Z12</w:t>
      </w:r>
      <w:r w:rsidRPr="00BA7F3A">
        <w:rPr>
          <w:rFonts w:ascii="Arial" w:hAnsi="Arial" w:cs="Arial"/>
          <w:sz w:val="24"/>
          <w:szCs w:val="24"/>
          <w:u w:val="single"/>
        </w:rPr>
        <w:t xml:space="preserve"> - Open for Consideration Uses</w:t>
      </w:r>
    </w:p>
    <w:p w14:paraId="42CDCF45" w14:textId="77777777" w:rsidR="005D4329" w:rsidRDefault="005D4329" w:rsidP="005D4329">
      <w:pPr>
        <w:rPr>
          <w:rFonts w:ascii="Arial" w:hAnsi="Arial" w:cs="Arial"/>
          <w:strike/>
          <w:sz w:val="24"/>
          <w:szCs w:val="24"/>
        </w:rPr>
      </w:pPr>
      <w:r w:rsidRPr="004F21F4">
        <w:rPr>
          <w:rFonts w:ascii="Arial" w:hAnsi="Arial" w:cs="Arial"/>
          <w:strike/>
          <w:sz w:val="24"/>
          <w:szCs w:val="24"/>
        </w:rPr>
        <w:t>Build to Rent</w:t>
      </w:r>
      <w:r>
        <w:rPr>
          <w:rFonts w:ascii="Arial" w:hAnsi="Arial" w:cs="Arial"/>
          <w:strike/>
          <w:sz w:val="24"/>
          <w:szCs w:val="24"/>
        </w:rPr>
        <w:t xml:space="preserve"> residential, </w:t>
      </w:r>
    </w:p>
    <w:p w14:paraId="6C95561E" w14:textId="77777777" w:rsidR="005D4329" w:rsidRDefault="005D4329" w:rsidP="005D4329">
      <w:pPr>
        <w:rPr>
          <w:rFonts w:ascii="Arial" w:hAnsi="Arial" w:cs="Arial"/>
          <w:strike/>
          <w:sz w:val="24"/>
          <w:szCs w:val="24"/>
        </w:rPr>
      </w:pPr>
    </w:p>
    <w:p w14:paraId="3815A4C0" w14:textId="77777777" w:rsidR="005D4329" w:rsidRDefault="005D4329" w:rsidP="005D4329">
      <w:pPr>
        <w:rPr>
          <w:rFonts w:ascii="Arial" w:hAnsi="Arial" w:cs="Arial"/>
          <w:strike/>
          <w:sz w:val="24"/>
          <w:szCs w:val="24"/>
        </w:rPr>
      </w:pPr>
    </w:p>
    <w:p w14:paraId="315E2A4D" w14:textId="77777777" w:rsidR="005D4329" w:rsidRPr="00B26556" w:rsidRDefault="005D4329" w:rsidP="005D4329">
      <w:pPr>
        <w:pStyle w:val="Default"/>
        <w:rPr>
          <w:rFonts w:ascii="Arial" w:hAnsi="Arial" w:cs="Arial"/>
          <w:b/>
        </w:rPr>
      </w:pPr>
      <w:r w:rsidRPr="00B26556">
        <w:rPr>
          <w:rFonts w:ascii="Arial" w:hAnsi="Arial" w:cs="Arial"/>
          <w:b/>
        </w:rPr>
        <w:t>Chapter 14: Land Use Zoning</w:t>
      </w:r>
    </w:p>
    <w:p w14:paraId="04898991"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Section 14.7.13 Strategic Development and Regeneration Areas - Zone 14</w:t>
      </w:r>
    </w:p>
    <w:p w14:paraId="2B6F3EFE"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Land Use Zoning Objective Z14: To seek the social, economic and physical development and/or regeneration of an area with mixed-use, of which residential would be the predominant use.</w:t>
      </w:r>
    </w:p>
    <w:p w14:paraId="65D05C68" w14:textId="77777777" w:rsidR="005D4329" w:rsidRPr="00BA7F3A" w:rsidRDefault="005D4329" w:rsidP="005D4329">
      <w:pPr>
        <w:spacing w:after="0" w:line="240" w:lineRule="auto"/>
        <w:rPr>
          <w:rFonts w:ascii="Arial" w:hAnsi="Arial" w:cs="Arial"/>
          <w:b/>
          <w:sz w:val="24"/>
          <w:szCs w:val="24"/>
          <w:u w:val="single"/>
        </w:rPr>
      </w:pPr>
      <w:r w:rsidRPr="00BA7F3A">
        <w:rPr>
          <w:rFonts w:ascii="Arial" w:hAnsi="Arial" w:cs="Arial"/>
          <w:b/>
          <w:sz w:val="24"/>
          <w:szCs w:val="24"/>
          <w:u w:val="single"/>
        </w:rPr>
        <w:t>Z14-Permissible Uses</w:t>
      </w:r>
    </w:p>
    <w:p w14:paraId="0575DC39"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544</w:t>
      </w:r>
    </w:p>
    <w:p w14:paraId="158E3367" w14:textId="77777777" w:rsidR="005D4329" w:rsidRDefault="005D4329" w:rsidP="005D4329">
      <w:pPr>
        <w:spacing w:after="0" w:line="240" w:lineRule="auto"/>
        <w:rPr>
          <w:rFonts w:ascii="Arial" w:hAnsi="Arial" w:cs="Arial"/>
          <w:b/>
          <w:sz w:val="24"/>
          <w:szCs w:val="24"/>
        </w:rPr>
      </w:pPr>
    </w:p>
    <w:p w14:paraId="0B56AED8" w14:textId="77777777" w:rsidR="005D4329" w:rsidRPr="00B26556" w:rsidRDefault="005D4329" w:rsidP="005D4329">
      <w:pPr>
        <w:jc w:val="both"/>
        <w:rPr>
          <w:rFonts w:ascii="Arial" w:hAnsi="Arial" w:cs="Arial"/>
          <w:bCs/>
          <w:sz w:val="24"/>
          <w:szCs w:val="24"/>
        </w:rPr>
      </w:pPr>
      <w:r w:rsidRPr="00B26556">
        <w:rPr>
          <w:rFonts w:ascii="Arial" w:hAnsi="Arial" w:cs="Arial"/>
          <w:bCs/>
          <w:sz w:val="24"/>
          <w:szCs w:val="24"/>
          <w:highlight w:val="yellow"/>
        </w:rPr>
        <w:t>Pr</w:t>
      </w:r>
      <w:r>
        <w:rPr>
          <w:rFonts w:ascii="Arial" w:hAnsi="Arial" w:cs="Arial"/>
          <w:bCs/>
          <w:sz w:val="24"/>
          <w:szCs w:val="24"/>
          <w:highlight w:val="yellow"/>
        </w:rPr>
        <w:t>oposed Amendment Reference No. 10</w:t>
      </w:r>
    </w:p>
    <w:p w14:paraId="177E3F55" w14:textId="77777777" w:rsidR="005D4329" w:rsidRPr="004F21F4" w:rsidRDefault="005D4329" w:rsidP="005D4329">
      <w:pPr>
        <w:rPr>
          <w:rFonts w:ascii="Arial" w:hAnsi="Arial" w:cs="Arial"/>
          <w:sz w:val="24"/>
          <w:szCs w:val="24"/>
        </w:rPr>
      </w:pPr>
      <w:r w:rsidRPr="004F21F4">
        <w:rPr>
          <w:rFonts w:ascii="Arial" w:hAnsi="Arial" w:cs="Arial"/>
          <w:sz w:val="24"/>
          <w:szCs w:val="24"/>
        </w:rPr>
        <w:t>Delete the following text</w:t>
      </w:r>
      <w:r>
        <w:rPr>
          <w:rFonts w:ascii="Arial" w:hAnsi="Arial" w:cs="Arial"/>
          <w:sz w:val="24"/>
          <w:szCs w:val="24"/>
        </w:rPr>
        <w:t xml:space="preserve"> on page 544 under </w:t>
      </w:r>
      <w:r w:rsidRPr="00BA7F3A">
        <w:rPr>
          <w:rFonts w:ascii="Arial" w:hAnsi="Arial" w:cs="Arial"/>
          <w:sz w:val="24"/>
          <w:szCs w:val="24"/>
          <w:u w:val="single"/>
        </w:rPr>
        <w:t>Z14 Permissible Uses</w:t>
      </w:r>
      <w:r w:rsidRPr="004F21F4">
        <w:rPr>
          <w:rFonts w:ascii="Arial" w:hAnsi="Arial" w:cs="Arial"/>
          <w:sz w:val="24"/>
          <w:szCs w:val="24"/>
        </w:rPr>
        <w:t>:</w:t>
      </w:r>
    </w:p>
    <w:p w14:paraId="61504F75" w14:textId="77777777" w:rsidR="005D4329" w:rsidRDefault="005D4329" w:rsidP="005D4329">
      <w:pPr>
        <w:rPr>
          <w:rFonts w:ascii="Arial" w:hAnsi="Arial" w:cs="Arial"/>
          <w:strike/>
          <w:sz w:val="24"/>
          <w:szCs w:val="24"/>
        </w:rPr>
      </w:pPr>
      <w:r w:rsidRPr="004F21F4">
        <w:rPr>
          <w:rFonts w:ascii="Arial" w:hAnsi="Arial" w:cs="Arial"/>
          <w:strike/>
          <w:sz w:val="24"/>
          <w:szCs w:val="24"/>
        </w:rPr>
        <w:t>Build to Rent</w:t>
      </w:r>
      <w:r>
        <w:rPr>
          <w:rFonts w:ascii="Arial" w:hAnsi="Arial" w:cs="Arial"/>
          <w:strike/>
          <w:sz w:val="24"/>
          <w:szCs w:val="24"/>
        </w:rPr>
        <w:t xml:space="preserve"> residential, </w:t>
      </w:r>
    </w:p>
    <w:p w14:paraId="61052274" w14:textId="77777777" w:rsidR="005D4329" w:rsidRDefault="005D4329" w:rsidP="005D4329">
      <w:pPr>
        <w:spacing w:after="0" w:line="240" w:lineRule="auto"/>
        <w:rPr>
          <w:rFonts w:ascii="Arial" w:hAnsi="Arial" w:cs="Arial"/>
          <w:b/>
          <w:sz w:val="24"/>
          <w:szCs w:val="24"/>
        </w:rPr>
      </w:pPr>
    </w:p>
    <w:p w14:paraId="1D07AC03" w14:textId="77777777" w:rsidR="005D4329" w:rsidRPr="004F21F4" w:rsidRDefault="005D4329" w:rsidP="005D4329">
      <w:pPr>
        <w:spacing w:after="0" w:line="240" w:lineRule="auto"/>
        <w:rPr>
          <w:rFonts w:ascii="Arial" w:hAnsi="Arial" w:cs="Arial"/>
          <w:b/>
          <w:sz w:val="24"/>
          <w:szCs w:val="24"/>
        </w:rPr>
      </w:pPr>
    </w:p>
    <w:p w14:paraId="4A5EA9D5" w14:textId="77777777" w:rsidR="005D4329" w:rsidRDefault="005D4329" w:rsidP="005D4329">
      <w:pPr>
        <w:jc w:val="both"/>
        <w:rPr>
          <w:rFonts w:ascii="Arial" w:hAnsi="Arial" w:cs="Arial"/>
          <w:b/>
          <w:sz w:val="28"/>
          <w:szCs w:val="28"/>
        </w:rPr>
      </w:pPr>
      <w:r w:rsidRPr="009448BF">
        <w:rPr>
          <w:rFonts w:ascii="Arial" w:hAnsi="Arial" w:cs="Arial"/>
          <w:b/>
          <w:sz w:val="28"/>
          <w:szCs w:val="28"/>
        </w:rPr>
        <w:t>Chapter 15</w:t>
      </w:r>
      <w:r w:rsidRPr="009448BF">
        <w:rPr>
          <w:rFonts w:ascii="Arial" w:hAnsi="Arial" w:cs="Arial"/>
          <w:b/>
          <w:sz w:val="28"/>
          <w:szCs w:val="28"/>
        </w:rPr>
        <w:tab/>
        <w:t>Development Standards</w:t>
      </w:r>
    </w:p>
    <w:p w14:paraId="2CA639CE"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Chapter 15</w:t>
      </w:r>
    </w:p>
    <w:p w14:paraId="00045D1F" w14:textId="77777777" w:rsidR="005D4329" w:rsidRPr="00967815" w:rsidRDefault="005D4329" w:rsidP="005D4329">
      <w:pPr>
        <w:spacing w:after="0" w:line="240" w:lineRule="auto"/>
        <w:jc w:val="both"/>
        <w:rPr>
          <w:rFonts w:ascii="Arial" w:hAnsi="Arial" w:cs="Arial"/>
          <w:b/>
          <w:sz w:val="24"/>
          <w:szCs w:val="24"/>
        </w:rPr>
      </w:pPr>
      <w:r w:rsidRPr="00967815">
        <w:rPr>
          <w:rFonts w:ascii="Arial" w:hAnsi="Arial" w:cs="Arial"/>
          <w:b/>
          <w:sz w:val="24"/>
          <w:szCs w:val="24"/>
        </w:rPr>
        <w:t>15.8</w:t>
      </w:r>
      <w:r w:rsidRPr="00967815">
        <w:rPr>
          <w:rFonts w:ascii="Arial" w:hAnsi="Arial" w:cs="Arial"/>
          <w:b/>
          <w:sz w:val="24"/>
          <w:szCs w:val="24"/>
        </w:rPr>
        <w:tab/>
        <w:t>Residential Development</w:t>
      </w:r>
    </w:p>
    <w:p w14:paraId="4275141A"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581</w:t>
      </w:r>
    </w:p>
    <w:p w14:paraId="2090F8DF" w14:textId="77777777" w:rsidR="005D4329" w:rsidRPr="004F21F4" w:rsidRDefault="005D4329" w:rsidP="005D4329">
      <w:pPr>
        <w:spacing w:after="0" w:line="240" w:lineRule="auto"/>
        <w:rPr>
          <w:rFonts w:ascii="Arial" w:hAnsi="Arial" w:cs="Arial"/>
          <w:b/>
          <w:sz w:val="24"/>
          <w:szCs w:val="24"/>
        </w:rPr>
      </w:pPr>
      <w:r>
        <w:rPr>
          <w:rFonts w:ascii="Arial" w:hAnsi="Arial" w:cs="Arial"/>
          <w:b/>
          <w:sz w:val="24"/>
          <w:szCs w:val="24"/>
        </w:rPr>
        <w:t>1</w:t>
      </w:r>
      <w:r w:rsidRPr="00967815">
        <w:rPr>
          <w:rFonts w:ascii="Arial" w:hAnsi="Arial" w:cs="Arial"/>
          <w:b/>
          <w:sz w:val="24"/>
          <w:szCs w:val="24"/>
          <w:vertAlign w:val="superscript"/>
        </w:rPr>
        <w:t>st</w:t>
      </w:r>
      <w:r>
        <w:rPr>
          <w:rFonts w:ascii="Arial" w:hAnsi="Arial" w:cs="Arial"/>
          <w:b/>
          <w:sz w:val="24"/>
          <w:szCs w:val="24"/>
        </w:rPr>
        <w:t xml:space="preserve"> Paragraph</w:t>
      </w:r>
    </w:p>
    <w:p w14:paraId="74A85907" w14:textId="77777777" w:rsidR="005D4329" w:rsidRDefault="005D4329" w:rsidP="005D4329">
      <w:pPr>
        <w:rPr>
          <w:rFonts w:ascii="Arial" w:hAnsi="Arial" w:cs="Arial"/>
          <w:strike/>
          <w:sz w:val="24"/>
          <w:szCs w:val="24"/>
        </w:rPr>
      </w:pPr>
    </w:p>
    <w:p w14:paraId="796C4F76" w14:textId="77777777" w:rsidR="005D4329" w:rsidRPr="00B26556" w:rsidRDefault="005D4329" w:rsidP="005D4329">
      <w:pPr>
        <w:jc w:val="both"/>
        <w:rPr>
          <w:rFonts w:ascii="Arial" w:hAnsi="Arial" w:cs="Arial"/>
          <w:bCs/>
          <w:sz w:val="24"/>
          <w:szCs w:val="24"/>
        </w:rPr>
      </w:pPr>
      <w:r w:rsidRPr="00B6171E">
        <w:rPr>
          <w:rFonts w:ascii="Arial" w:hAnsi="Arial" w:cs="Arial"/>
          <w:bCs/>
          <w:sz w:val="24"/>
          <w:szCs w:val="24"/>
          <w:highlight w:val="yellow"/>
        </w:rPr>
        <w:t>Proposed Amendment Reference No. 11</w:t>
      </w:r>
    </w:p>
    <w:p w14:paraId="4B314DB0" w14:textId="77777777" w:rsidR="005D4329" w:rsidRPr="00967815" w:rsidRDefault="005D4329" w:rsidP="005D4329">
      <w:pPr>
        <w:rPr>
          <w:rFonts w:ascii="Arial" w:hAnsi="Arial" w:cs="Arial"/>
          <w:sz w:val="24"/>
          <w:szCs w:val="24"/>
        </w:rPr>
      </w:pPr>
      <w:r>
        <w:rPr>
          <w:rFonts w:ascii="Arial" w:hAnsi="Arial" w:cs="Arial"/>
          <w:sz w:val="24"/>
          <w:szCs w:val="24"/>
        </w:rPr>
        <w:t>Delete the indicated</w:t>
      </w:r>
      <w:r w:rsidRPr="00967815">
        <w:rPr>
          <w:rFonts w:ascii="Arial" w:hAnsi="Arial" w:cs="Arial"/>
          <w:sz w:val="24"/>
          <w:szCs w:val="24"/>
        </w:rPr>
        <w:t xml:space="preserve"> text</w:t>
      </w:r>
      <w:r>
        <w:rPr>
          <w:rFonts w:ascii="Arial" w:hAnsi="Arial" w:cs="Arial"/>
          <w:sz w:val="24"/>
          <w:szCs w:val="24"/>
        </w:rPr>
        <w:t xml:space="preserve"> below</w:t>
      </w:r>
      <w:r w:rsidRPr="00967815">
        <w:rPr>
          <w:rFonts w:ascii="Arial" w:hAnsi="Arial" w:cs="Arial"/>
          <w:sz w:val="24"/>
          <w:szCs w:val="24"/>
        </w:rPr>
        <w:t>:</w:t>
      </w:r>
    </w:p>
    <w:p w14:paraId="3D7E4177" w14:textId="77777777" w:rsidR="005D4329" w:rsidRPr="00967815" w:rsidRDefault="005D4329" w:rsidP="005D4329">
      <w:pPr>
        <w:rPr>
          <w:rFonts w:ascii="Arial" w:hAnsi="Arial" w:cs="Arial"/>
          <w:sz w:val="24"/>
          <w:szCs w:val="24"/>
        </w:rPr>
      </w:pPr>
      <w:r w:rsidRPr="00967815">
        <w:rPr>
          <w:rFonts w:ascii="Arial" w:hAnsi="Arial" w:cs="Arial"/>
          <w:sz w:val="24"/>
          <w:szCs w:val="24"/>
        </w:rPr>
        <w:t xml:space="preserve">New residential development in the city mainly comprises of apartment schemes with some limited residential housing schemes. This section sets out the general requirements for residential development followed by more specific guidance for apartments, </w:t>
      </w:r>
      <w:r w:rsidRPr="00967815">
        <w:rPr>
          <w:rFonts w:ascii="Arial" w:hAnsi="Arial" w:cs="Arial"/>
          <w:strike/>
          <w:sz w:val="24"/>
          <w:szCs w:val="24"/>
        </w:rPr>
        <w:t>Build to Rent,</w:t>
      </w:r>
      <w:r w:rsidRPr="00967815">
        <w:rPr>
          <w:rFonts w:ascii="Arial" w:hAnsi="Arial" w:cs="Arial"/>
          <w:sz w:val="24"/>
          <w:szCs w:val="24"/>
        </w:rPr>
        <w:t xml:space="preserve"> student accommodation and houses. </w:t>
      </w:r>
    </w:p>
    <w:p w14:paraId="2FA2349E" w14:textId="77777777" w:rsidR="005D4329" w:rsidRDefault="005D4329" w:rsidP="005D4329">
      <w:pPr>
        <w:rPr>
          <w:rFonts w:cstheme="minorHAnsi"/>
          <w:szCs w:val="24"/>
        </w:rPr>
      </w:pPr>
    </w:p>
    <w:p w14:paraId="7CC968B0"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Chapter 15</w:t>
      </w:r>
    </w:p>
    <w:p w14:paraId="55C2193A" w14:textId="77777777" w:rsidR="005D4329" w:rsidRPr="00967815" w:rsidRDefault="005D4329" w:rsidP="005D4329">
      <w:pPr>
        <w:spacing w:after="0" w:line="240" w:lineRule="auto"/>
        <w:jc w:val="both"/>
        <w:rPr>
          <w:rFonts w:ascii="Arial" w:hAnsi="Arial" w:cs="Arial"/>
          <w:b/>
          <w:sz w:val="24"/>
          <w:szCs w:val="24"/>
        </w:rPr>
      </w:pPr>
      <w:r>
        <w:rPr>
          <w:rFonts w:ascii="Arial" w:hAnsi="Arial" w:cs="Arial"/>
          <w:b/>
          <w:sz w:val="24"/>
          <w:szCs w:val="24"/>
        </w:rPr>
        <w:t>15.9.1</w:t>
      </w:r>
      <w:r>
        <w:rPr>
          <w:rFonts w:ascii="Arial" w:hAnsi="Arial" w:cs="Arial"/>
          <w:b/>
          <w:sz w:val="24"/>
          <w:szCs w:val="24"/>
        </w:rPr>
        <w:tab/>
        <w:t>Unit Mix</w:t>
      </w:r>
    </w:p>
    <w:p w14:paraId="124EB87D"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Last paragraph</w:t>
      </w:r>
    </w:p>
    <w:p w14:paraId="710854E5"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590</w:t>
      </w:r>
    </w:p>
    <w:p w14:paraId="67ADCBF3" w14:textId="77777777" w:rsidR="005D4329" w:rsidRDefault="005D4329" w:rsidP="005D4329">
      <w:pPr>
        <w:spacing w:after="0" w:line="240" w:lineRule="auto"/>
        <w:rPr>
          <w:rFonts w:ascii="Arial" w:hAnsi="Arial" w:cs="Arial"/>
          <w:b/>
          <w:sz w:val="24"/>
          <w:szCs w:val="24"/>
        </w:rPr>
      </w:pPr>
    </w:p>
    <w:p w14:paraId="117625BD" w14:textId="77777777" w:rsidR="005D4329" w:rsidRPr="00B26556" w:rsidRDefault="005D4329" w:rsidP="005D4329">
      <w:pPr>
        <w:jc w:val="both"/>
        <w:rPr>
          <w:rFonts w:ascii="Arial" w:hAnsi="Arial" w:cs="Arial"/>
          <w:bCs/>
          <w:sz w:val="24"/>
          <w:szCs w:val="24"/>
        </w:rPr>
      </w:pPr>
      <w:r w:rsidRPr="00B6171E">
        <w:rPr>
          <w:rFonts w:ascii="Arial" w:hAnsi="Arial" w:cs="Arial"/>
          <w:bCs/>
          <w:sz w:val="24"/>
          <w:szCs w:val="24"/>
          <w:highlight w:val="yellow"/>
        </w:rPr>
        <w:t>Proposed Amendment Reference No. 12</w:t>
      </w:r>
    </w:p>
    <w:p w14:paraId="7C926BD1" w14:textId="77777777" w:rsidR="005D4329" w:rsidRPr="00967815" w:rsidRDefault="005D4329" w:rsidP="005D4329">
      <w:pPr>
        <w:rPr>
          <w:rFonts w:ascii="Arial" w:hAnsi="Arial" w:cs="Arial"/>
          <w:sz w:val="24"/>
          <w:szCs w:val="24"/>
        </w:rPr>
      </w:pPr>
      <w:r>
        <w:rPr>
          <w:rFonts w:ascii="Arial" w:hAnsi="Arial" w:cs="Arial"/>
          <w:sz w:val="24"/>
          <w:szCs w:val="24"/>
        </w:rPr>
        <w:t>Delete the</w:t>
      </w:r>
      <w:r w:rsidRPr="00967815">
        <w:rPr>
          <w:rFonts w:ascii="Arial" w:hAnsi="Arial" w:cs="Arial"/>
          <w:sz w:val="24"/>
          <w:szCs w:val="24"/>
        </w:rPr>
        <w:t xml:space="preserve"> text</w:t>
      </w:r>
      <w:r>
        <w:rPr>
          <w:rFonts w:ascii="Arial" w:hAnsi="Arial" w:cs="Arial"/>
          <w:sz w:val="24"/>
          <w:szCs w:val="24"/>
        </w:rPr>
        <w:t xml:space="preserve"> as indicated</w:t>
      </w:r>
      <w:r w:rsidRPr="00967815">
        <w:rPr>
          <w:rFonts w:ascii="Arial" w:hAnsi="Arial" w:cs="Arial"/>
          <w:sz w:val="24"/>
          <w:szCs w:val="24"/>
        </w:rPr>
        <w:t>:</w:t>
      </w:r>
    </w:p>
    <w:p w14:paraId="183F3EEB" w14:textId="77777777" w:rsidR="005D4329" w:rsidRPr="004F21F4" w:rsidRDefault="005D4329" w:rsidP="005D4329">
      <w:pPr>
        <w:spacing w:after="0" w:line="240" w:lineRule="auto"/>
        <w:rPr>
          <w:rFonts w:ascii="Arial" w:hAnsi="Arial" w:cs="Arial"/>
          <w:b/>
          <w:sz w:val="24"/>
          <w:szCs w:val="24"/>
        </w:rPr>
      </w:pPr>
    </w:p>
    <w:p w14:paraId="4D5D78F0" w14:textId="77777777" w:rsidR="005D4329" w:rsidRDefault="005D4329" w:rsidP="005D4329">
      <w:pPr>
        <w:rPr>
          <w:rFonts w:ascii="Arial" w:eastAsia="Arial" w:hAnsi="Arial" w:cs="Arial"/>
          <w:strike/>
          <w:sz w:val="24"/>
          <w:szCs w:val="24"/>
        </w:rPr>
      </w:pPr>
      <w:r w:rsidRPr="00370216">
        <w:rPr>
          <w:rFonts w:ascii="Arial" w:hAnsi="Arial" w:cs="Arial"/>
          <w:sz w:val="24"/>
          <w:szCs w:val="24"/>
        </w:rPr>
        <w:t xml:space="preserve">SPPR 2 provides some flexibility in terms of unit mix for building refurbishment schemes on sites of any size, urban infill schemes on sites up to 0.25 ha, schemes up to 9 units and for schemes between 10 and 49 units. The planning authority will assess each application having regard to SPPR 2 on a case by case basis. For further details, please refer to The Sustainable Urban Housing: Design Standards for New Apartments </w:t>
      </w:r>
      <w:r w:rsidRPr="000025B9">
        <w:rPr>
          <w:rFonts w:ascii="Arial" w:hAnsi="Arial" w:cs="Arial"/>
          <w:sz w:val="24"/>
          <w:szCs w:val="24"/>
        </w:rPr>
        <w:t>(December 2020) guidelines</w:t>
      </w:r>
      <w:r w:rsidRPr="00370216">
        <w:rPr>
          <w:rFonts w:ascii="Arial" w:hAnsi="Arial" w:cs="Arial"/>
          <w:sz w:val="24"/>
          <w:szCs w:val="24"/>
        </w:rPr>
        <w:t xml:space="preserve">. </w:t>
      </w:r>
      <w:r w:rsidRPr="00370216">
        <w:rPr>
          <w:rFonts w:ascii="Arial" w:eastAsia="Arial" w:hAnsi="Arial" w:cs="Arial"/>
          <w:strike/>
          <w:sz w:val="24"/>
          <w:szCs w:val="24"/>
        </w:rPr>
        <w:t>For clarity, in accordance with SPPR 8, the unit mix requirement for the North Inner City and Liberties Sub-City Areas does not apply to units that are designed to a BTR standard.</w:t>
      </w:r>
    </w:p>
    <w:p w14:paraId="15F5788A" w14:textId="77777777" w:rsidR="005D4329" w:rsidRDefault="005D4329" w:rsidP="005D4329">
      <w:pPr>
        <w:rPr>
          <w:rFonts w:ascii="Arial" w:hAnsi="Arial" w:cs="Arial"/>
          <w:bCs/>
          <w:strike/>
          <w:sz w:val="24"/>
          <w:szCs w:val="24"/>
        </w:rPr>
      </w:pPr>
    </w:p>
    <w:p w14:paraId="051E0873"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Chapter 15</w:t>
      </w:r>
    </w:p>
    <w:p w14:paraId="6C36CDBC" w14:textId="77777777" w:rsidR="005D4329" w:rsidRPr="00967815" w:rsidRDefault="005D4329" w:rsidP="005D4329">
      <w:pPr>
        <w:spacing w:after="0" w:line="240" w:lineRule="auto"/>
        <w:jc w:val="both"/>
        <w:rPr>
          <w:rFonts w:ascii="Arial" w:hAnsi="Arial" w:cs="Arial"/>
          <w:b/>
          <w:sz w:val="24"/>
          <w:szCs w:val="24"/>
        </w:rPr>
      </w:pPr>
      <w:r>
        <w:rPr>
          <w:rFonts w:ascii="Arial" w:hAnsi="Arial" w:cs="Arial"/>
          <w:b/>
          <w:sz w:val="24"/>
          <w:szCs w:val="24"/>
        </w:rPr>
        <w:t>15.9.2</w:t>
      </w:r>
      <w:r>
        <w:rPr>
          <w:rFonts w:ascii="Arial" w:hAnsi="Arial" w:cs="Arial"/>
          <w:b/>
          <w:sz w:val="24"/>
          <w:szCs w:val="24"/>
        </w:rPr>
        <w:tab/>
        <w:t>Unit Size / Layout</w:t>
      </w:r>
    </w:p>
    <w:p w14:paraId="0D7F9AB7"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4th paragraph</w:t>
      </w:r>
    </w:p>
    <w:p w14:paraId="735F03DE"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591</w:t>
      </w:r>
    </w:p>
    <w:p w14:paraId="1F244DFE" w14:textId="77777777" w:rsidR="005D4329" w:rsidRDefault="005D4329" w:rsidP="005D4329">
      <w:pPr>
        <w:spacing w:after="0" w:line="240" w:lineRule="auto"/>
        <w:rPr>
          <w:rFonts w:ascii="Arial" w:hAnsi="Arial" w:cs="Arial"/>
          <w:b/>
          <w:sz w:val="24"/>
          <w:szCs w:val="24"/>
        </w:rPr>
      </w:pPr>
    </w:p>
    <w:p w14:paraId="4ED0C3F1" w14:textId="77777777" w:rsidR="005D4329" w:rsidRPr="00B26556" w:rsidRDefault="005D4329" w:rsidP="005D4329">
      <w:pPr>
        <w:jc w:val="both"/>
        <w:rPr>
          <w:rFonts w:ascii="Arial" w:hAnsi="Arial" w:cs="Arial"/>
          <w:bCs/>
          <w:sz w:val="24"/>
          <w:szCs w:val="24"/>
        </w:rPr>
      </w:pPr>
      <w:r w:rsidRPr="00474258">
        <w:rPr>
          <w:rFonts w:ascii="Arial" w:hAnsi="Arial" w:cs="Arial"/>
          <w:bCs/>
          <w:sz w:val="24"/>
          <w:szCs w:val="24"/>
          <w:highlight w:val="yellow"/>
        </w:rPr>
        <w:t>Proposed Amendment Reference No. 13</w:t>
      </w:r>
    </w:p>
    <w:p w14:paraId="39F9D702" w14:textId="77777777" w:rsidR="005D4329" w:rsidRPr="000B70F0" w:rsidRDefault="005D4329" w:rsidP="005D4329">
      <w:pPr>
        <w:rPr>
          <w:rFonts w:ascii="Arial" w:hAnsi="Arial" w:cs="Arial"/>
          <w:sz w:val="24"/>
          <w:szCs w:val="24"/>
        </w:rPr>
      </w:pPr>
      <w:r w:rsidRPr="000B70F0">
        <w:rPr>
          <w:rFonts w:ascii="Arial" w:hAnsi="Arial" w:cs="Arial"/>
          <w:sz w:val="24"/>
          <w:szCs w:val="24"/>
        </w:rPr>
        <w:t>Delete the text as indicated:</w:t>
      </w:r>
    </w:p>
    <w:p w14:paraId="40BA3521" w14:textId="77777777" w:rsidR="005D4329" w:rsidRDefault="005D4329" w:rsidP="005D4329">
      <w:pPr>
        <w:rPr>
          <w:rFonts w:ascii="Arial" w:hAnsi="Arial" w:cs="Arial"/>
          <w:sz w:val="24"/>
          <w:szCs w:val="24"/>
        </w:rPr>
      </w:pPr>
      <w:r w:rsidRPr="000B70F0">
        <w:rPr>
          <w:rFonts w:ascii="Arial" w:hAnsi="Arial" w:cs="Arial"/>
          <w:sz w:val="24"/>
          <w:szCs w:val="24"/>
        </w:rPr>
        <w:t xml:space="preserve">The majority of all apartments in any proposed scheme of 10 or more apartments </w:t>
      </w:r>
      <w:r w:rsidRPr="000B70F0">
        <w:rPr>
          <w:rFonts w:ascii="Arial" w:hAnsi="Arial" w:cs="Arial"/>
          <w:strike/>
          <w:sz w:val="24"/>
          <w:szCs w:val="24"/>
        </w:rPr>
        <w:t>(excluding Build to Rent accommodation)</w:t>
      </w:r>
      <w:r w:rsidRPr="000B70F0">
        <w:rPr>
          <w:rFonts w:ascii="Arial" w:hAnsi="Arial" w:cs="Arial"/>
          <w:sz w:val="24"/>
          <w:szCs w:val="24"/>
        </w:rPr>
        <w:t xml:space="preserve"> shall exceed the minimum floor area standard for any combination of the relevant 1, 2 or 3 bedroom unit types, by a minimum of 10% (any studio apartments must be included in the total, but are not included as units that exceed the minimum by at least 10%). </w:t>
      </w:r>
    </w:p>
    <w:p w14:paraId="4294FED1" w14:textId="77777777" w:rsidR="005D4329" w:rsidRPr="000B70F0" w:rsidRDefault="005D4329" w:rsidP="005D4329">
      <w:pPr>
        <w:rPr>
          <w:rFonts w:ascii="Arial" w:hAnsi="Arial" w:cs="Arial"/>
          <w:sz w:val="24"/>
          <w:szCs w:val="24"/>
        </w:rPr>
      </w:pPr>
    </w:p>
    <w:p w14:paraId="69006ADF"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Chapter 15</w:t>
      </w:r>
    </w:p>
    <w:p w14:paraId="5010C9C6" w14:textId="77777777" w:rsidR="005D4329" w:rsidRPr="00967815" w:rsidRDefault="005D4329" w:rsidP="005D4329">
      <w:pPr>
        <w:spacing w:after="0" w:line="240" w:lineRule="auto"/>
        <w:jc w:val="both"/>
        <w:rPr>
          <w:rFonts w:ascii="Arial" w:hAnsi="Arial" w:cs="Arial"/>
          <w:b/>
          <w:sz w:val="24"/>
          <w:szCs w:val="24"/>
        </w:rPr>
      </w:pPr>
      <w:r>
        <w:rPr>
          <w:rFonts w:ascii="Arial" w:hAnsi="Arial" w:cs="Arial"/>
          <w:b/>
          <w:sz w:val="24"/>
          <w:szCs w:val="24"/>
        </w:rPr>
        <w:t>15.10 Build to Rent Residential Developments (BTR)</w:t>
      </w:r>
    </w:p>
    <w:p w14:paraId="2F1985D3"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All Section including sub section 15.10.1 and 15.10.2</w:t>
      </w:r>
    </w:p>
    <w:p w14:paraId="012FC1C7"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602 to 603</w:t>
      </w:r>
    </w:p>
    <w:p w14:paraId="2029A5C5" w14:textId="77777777" w:rsidR="005D4329" w:rsidRDefault="005D4329" w:rsidP="005D4329">
      <w:pPr>
        <w:rPr>
          <w:rFonts w:cstheme="minorHAnsi"/>
          <w:szCs w:val="24"/>
        </w:rPr>
      </w:pPr>
    </w:p>
    <w:p w14:paraId="78C92C10" w14:textId="77777777" w:rsidR="005D4329" w:rsidRPr="00B26556" w:rsidRDefault="005D4329" w:rsidP="005D4329">
      <w:pPr>
        <w:jc w:val="both"/>
        <w:rPr>
          <w:rFonts w:ascii="Arial" w:hAnsi="Arial" w:cs="Arial"/>
          <w:bCs/>
          <w:sz w:val="24"/>
          <w:szCs w:val="24"/>
        </w:rPr>
      </w:pPr>
      <w:r w:rsidRPr="00B26556">
        <w:rPr>
          <w:rFonts w:ascii="Arial" w:hAnsi="Arial" w:cs="Arial"/>
          <w:bCs/>
          <w:sz w:val="24"/>
          <w:szCs w:val="24"/>
          <w:highlight w:val="yellow"/>
        </w:rPr>
        <w:t>Pr</w:t>
      </w:r>
      <w:r>
        <w:rPr>
          <w:rFonts w:ascii="Arial" w:hAnsi="Arial" w:cs="Arial"/>
          <w:bCs/>
          <w:sz w:val="24"/>
          <w:szCs w:val="24"/>
          <w:highlight w:val="yellow"/>
        </w:rPr>
        <w:t xml:space="preserve">oposed Amendment Reference No. </w:t>
      </w:r>
      <w:r w:rsidRPr="00474258">
        <w:rPr>
          <w:rFonts w:ascii="Arial" w:hAnsi="Arial" w:cs="Arial"/>
          <w:bCs/>
          <w:sz w:val="24"/>
          <w:szCs w:val="24"/>
          <w:highlight w:val="yellow"/>
        </w:rPr>
        <w:t>14</w:t>
      </w:r>
    </w:p>
    <w:p w14:paraId="58AC61AD" w14:textId="77777777" w:rsidR="005D4329" w:rsidRPr="000B70F0" w:rsidRDefault="005D4329" w:rsidP="005D4329">
      <w:pPr>
        <w:rPr>
          <w:rFonts w:ascii="Arial" w:hAnsi="Arial" w:cs="Arial"/>
          <w:sz w:val="24"/>
          <w:szCs w:val="24"/>
        </w:rPr>
      </w:pPr>
      <w:r w:rsidRPr="000B70F0">
        <w:rPr>
          <w:rFonts w:ascii="Arial" w:hAnsi="Arial" w:cs="Arial"/>
          <w:sz w:val="24"/>
          <w:szCs w:val="24"/>
        </w:rPr>
        <w:t xml:space="preserve">Delete </w:t>
      </w:r>
      <w:r>
        <w:rPr>
          <w:rFonts w:ascii="Arial" w:hAnsi="Arial" w:cs="Arial"/>
          <w:sz w:val="24"/>
          <w:szCs w:val="24"/>
        </w:rPr>
        <w:t>all section including subsections 15.10.1 and 15.10.2</w:t>
      </w:r>
      <w:r w:rsidRPr="000B70F0">
        <w:rPr>
          <w:rFonts w:ascii="Arial" w:hAnsi="Arial" w:cs="Arial"/>
          <w:sz w:val="24"/>
          <w:szCs w:val="24"/>
        </w:rPr>
        <w:t>:</w:t>
      </w:r>
    </w:p>
    <w:p w14:paraId="682C15D1" w14:textId="77777777" w:rsidR="005D4329" w:rsidRPr="00954CF5" w:rsidRDefault="005D4329" w:rsidP="005D4329">
      <w:pPr>
        <w:rPr>
          <w:rFonts w:cstheme="minorHAnsi"/>
          <w:szCs w:val="24"/>
        </w:rPr>
      </w:pPr>
    </w:p>
    <w:p w14:paraId="7E4DE94F" w14:textId="77777777" w:rsidR="005D4329" w:rsidRPr="00AA7336" w:rsidRDefault="005D4329" w:rsidP="005D4329">
      <w:pPr>
        <w:pStyle w:val="Heading2"/>
        <w:rPr>
          <w:rFonts w:ascii="Arial" w:hAnsi="Arial" w:cs="Arial"/>
          <w:strike/>
          <w:sz w:val="24"/>
          <w:szCs w:val="24"/>
        </w:rPr>
      </w:pPr>
      <w:bookmarkStart w:id="1" w:name="_Toc83040144"/>
      <w:bookmarkStart w:id="2" w:name="_Toc121145137"/>
      <w:r w:rsidRPr="00AA7336">
        <w:rPr>
          <w:rFonts w:ascii="Arial" w:hAnsi="Arial" w:cs="Arial"/>
          <w:strike/>
          <w:color w:val="auto"/>
          <w:sz w:val="24"/>
          <w:szCs w:val="24"/>
        </w:rPr>
        <w:t>15.10</w:t>
      </w:r>
      <w:r w:rsidRPr="00AA7336">
        <w:rPr>
          <w:rFonts w:ascii="Arial" w:hAnsi="Arial" w:cs="Arial"/>
          <w:strike/>
          <w:color w:val="auto"/>
          <w:sz w:val="24"/>
          <w:szCs w:val="24"/>
        </w:rPr>
        <w:tab/>
      </w:r>
      <w:r w:rsidRPr="00AA7336">
        <w:rPr>
          <w:rFonts w:ascii="Arial" w:hAnsi="Arial" w:cs="Arial"/>
          <w:strike/>
          <w:sz w:val="24"/>
          <w:szCs w:val="24"/>
        </w:rPr>
        <w:t>Build to Rent Residential Developments (BTR)</w:t>
      </w:r>
      <w:bookmarkEnd w:id="1"/>
      <w:bookmarkEnd w:id="2"/>
    </w:p>
    <w:p w14:paraId="0DFC7B9B" w14:textId="77777777" w:rsidR="005D4329" w:rsidRPr="00AA7336" w:rsidRDefault="005D4329" w:rsidP="005D4329">
      <w:pPr>
        <w:spacing w:after="0"/>
        <w:rPr>
          <w:rFonts w:ascii="Arial" w:hAnsi="Arial" w:cs="Arial"/>
          <w:strike/>
          <w:sz w:val="24"/>
          <w:szCs w:val="24"/>
        </w:rPr>
      </w:pPr>
      <w:r w:rsidRPr="00AA7336">
        <w:rPr>
          <w:rFonts w:ascii="Arial" w:hAnsi="Arial" w:cs="Arial"/>
          <w:strike/>
          <w:sz w:val="24"/>
          <w:szCs w:val="24"/>
        </w:rPr>
        <w:t xml:space="preserve">“Build to Rent” (BTR) refers to purpose built residential accommodation and associated amenities built specifically for long term rental that is managed and serviced in an institutional manner by an institutional landlord. Recent emerging trends would indicate that the dominance of BTR in large schemes can be to the detriment of </w:t>
      </w:r>
      <w:r w:rsidRPr="00AA7336">
        <w:rPr>
          <w:rFonts w:ascii="Arial" w:hAnsi="Arial" w:cs="Arial"/>
          <w:bCs/>
          <w:strike/>
          <w:sz w:val="24"/>
          <w:szCs w:val="24"/>
        </w:rPr>
        <w:t xml:space="preserve">standard designed apartment </w:t>
      </w:r>
      <w:r w:rsidRPr="00AA7336">
        <w:rPr>
          <w:rFonts w:ascii="Arial" w:hAnsi="Arial" w:cs="Arial"/>
          <w:strike/>
          <w:sz w:val="24"/>
          <w:szCs w:val="24"/>
        </w:rPr>
        <w:t>units. Dublin City Council will consider “Built to Rent” developments in specific locations as follows:</w:t>
      </w:r>
    </w:p>
    <w:p w14:paraId="2A1E9F2F" w14:textId="77777777" w:rsidR="005D4329" w:rsidRPr="00AA7336" w:rsidRDefault="005D4329" w:rsidP="005D4329">
      <w:pPr>
        <w:spacing w:after="0"/>
        <w:rPr>
          <w:rFonts w:ascii="Arial" w:hAnsi="Arial" w:cs="Arial"/>
          <w:strike/>
          <w:sz w:val="24"/>
          <w:szCs w:val="24"/>
        </w:rPr>
      </w:pPr>
    </w:p>
    <w:p w14:paraId="73CD988D" w14:textId="77777777" w:rsidR="005D4329" w:rsidRPr="00AA7336" w:rsidRDefault="005D4329" w:rsidP="005D4329">
      <w:pPr>
        <w:pStyle w:val="Default"/>
        <w:numPr>
          <w:ilvl w:val="0"/>
          <w:numId w:val="18"/>
        </w:numPr>
        <w:spacing w:line="276" w:lineRule="auto"/>
        <w:rPr>
          <w:rFonts w:ascii="Arial" w:eastAsia="Calibri" w:hAnsi="Arial" w:cs="Arial"/>
          <w:bCs/>
          <w:strike/>
          <w:color w:val="auto"/>
        </w:rPr>
      </w:pPr>
      <w:r w:rsidRPr="00AA7336">
        <w:rPr>
          <w:rFonts w:ascii="Arial" w:eastAsia="Calibri" w:hAnsi="Arial" w:cs="Arial"/>
          <w:strike/>
          <w:color w:val="auto"/>
        </w:rPr>
        <w:t xml:space="preserve">Within 500 metre walking distance of </w:t>
      </w:r>
      <w:r w:rsidRPr="00AA7336">
        <w:rPr>
          <w:rFonts w:ascii="Arial" w:eastAsia="Calibri" w:hAnsi="Arial" w:cs="Arial"/>
          <w:bCs/>
          <w:strike/>
          <w:color w:val="auto"/>
        </w:rPr>
        <w:t>significant employment locations.</w:t>
      </w:r>
    </w:p>
    <w:p w14:paraId="31624831" w14:textId="77777777" w:rsidR="005D4329" w:rsidRPr="00AA7336" w:rsidRDefault="005D4329" w:rsidP="005D4329">
      <w:pPr>
        <w:pStyle w:val="Default"/>
        <w:numPr>
          <w:ilvl w:val="0"/>
          <w:numId w:val="18"/>
        </w:numPr>
        <w:spacing w:line="276" w:lineRule="auto"/>
        <w:rPr>
          <w:rFonts w:ascii="Arial" w:eastAsia="Calibri" w:hAnsi="Arial" w:cs="Arial"/>
          <w:bCs/>
          <w:strike/>
          <w:color w:val="auto"/>
        </w:rPr>
      </w:pPr>
      <w:r w:rsidRPr="00AA7336">
        <w:rPr>
          <w:rFonts w:ascii="Arial" w:eastAsia="Calibri" w:hAnsi="Arial" w:cs="Arial"/>
          <w:strike/>
          <w:color w:val="auto"/>
        </w:rPr>
        <w:t xml:space="preserve">Within 500m of major public transport interchanges (e.g. Connolly Station, Tara Street Station and </w:t>
      </w:r>
      <w:proofErr w:type="spellStart"/>
      <w:r w:rsidRPr="00AA7336">
        <w:rPr>
          <w:rFonts w:ascii="Arial" w:eastAsia="Calibri" w:hAnsi="Arial" w:cs="Arial"/>
          <w:strike/>
          <w:color w:val="auto"/>
        </w:rPr>
        <w:t>Heuston</w:t>
      </w:r>
      <w:proofErr w:type="spellEnd"/>
      <w:r w:rsidRPr="00AA7336">
        <w:rPr>
          <w:rFonts w:ascii="Arial" w:eastAsia="Calibri" w:hAnsi="Arial" w:cs="Arial"/>
          <w:strike/>
          <w:color w:val="auto"/>
        </w:rPr>
        <w:t xml:space="preserve"> Station), and within identified Strategic Development Regenerations </w:t>
      </w:r>
      <w:r w:rsidRPr="00AA7336">
        <w:rPr>
          <w:rFonts w:ascii="Arial" w:eastAsia="Calibri" w:hAnsi="Arial" w:cs="Arial"/>
          <w:bCs/>
          <w:strike/>
          <w:color w:val="auto"/>
        </w:rPr>
        <w:t>Areas.</w:t>
      </w:r>
    </w:p>
    <w:p w14:paraId="22785A17" w14:textId="77777777" w:rsidR="005D4329" w:rsidRPr="00AA7336" w:rsidRDefault="005D4329" w:rsidP="005D4329">
      <w:pPr>
        <w:pStyle w:val="Default"/>
        <w:spacing w:line="276" w:lineRule="auto"/>
        <w:rPr>
          <w:rFonts w:ascii="Arial" w:eastAsia="Calibri" w:hAnsi="Arial" w:cs="Arial"/>
          <w:bCs/>
          <w:strike/>
          <w:color w:val="auto"/>
        </w:rPr>
      </w:pPr>
    </w:p>
    <w:p w14:paraId="7E24F978" w14:textId="77777777" w:rsidR="005D4329" w:rsidRPr="00AA7336" w:rsidRDefault="005D4329" w:rsidP="005D4329">
      <w:pPr>
        <w:pStyle w:val="Default"/>
        <w:spacing w:line="276" w:lineRule="auto"/>
        <w:rPr>
          <w:rFonts w:ascii="Arial" w:eastAsia="Calibri" w:hAnsi="Arial" w:cs="Arial"/>
          <w:strike/>
          <w:color w:val="auto"/>
        </w:rPr>
      </w:pPr>
      <w:r w:rsidRPr="00AA7336">
        <w:rPr>
          <w:rFonts w:ascii="Arial" w:eastAsia="Calibri" w:hAnsi="Arial" w:cs="Arial"/>
          <w:strike/>
          <w:color w:val="auto"/>
        </w:rPr>
        <w:t xml:space="preserve">There will be a general presumption against large scale residential developments (in excess of 100 units) which comprise of 100% BTR typology. To ensure a sustainable mix of tenure and long-term sustainable communities, a minimum of </w:t>
      </w:r>
      <w:r w:rsidRPr="00AA7336">
        <w:rPr>
          <w:rFonts w:ascii="Arial" w:eastAsia="Calibri" w:hAnsi="Arial" w:cs="Arial"/>
          <w:bCs/>
          <w:strike/>
          <w:color w:val="auto"/>
        </w:rPr>
        <w:t xml:space="preserve">60% </w:t>
      </w:r>
      <w:r w:rsidRPr="00AA7336">
        <w:rPr>
          <w:rFonts w:ascii="Arial" w:eastAsia="Calibri" w:hAnsi="Arial" w:cs="Arial"/>
          <w:strike/>
          <w:color w:val="auto"/>
        </w:rPr>
        <w:t xml:space="preserve">of standard </w:t>
      </w:r>
      <w:r w:rsidRPr="00AA7336">
        <w:rPr>
          <w:rFonts w:ascii="Arial" w:eastAsia="Calibri" w:hAnsi="Arial" w:cs="Arial"/>
          <w:bCs/>
          <w:strike/>
          <w:color w:val="auto"/>
        </w:rPr>
        <w:t xml:space="preserve">designed </w:t>
      </w:r>
      <w:r w:rsidRPr="00AA7336">
        <w:rPr>
          <w:rFonts w:ascii="Arial" w:eastAsia="Calibri" w:hAnsi="Arial" w:cs="Arial"/>
          <w:strike/>
          <w:color w:val="auto"/>
        </w:rPr>
        <w:t>apartments will be required in such instances.</w:t>
      </w:r>
    </w:p>
    <w:p w14:paraId="6B837DFB" w14:textId="77777777" w:rsidR="005D4329" w:rsidRPr="00AA7336" w:rsidRDefault="005D4329" w:rsidP="005D4329">
      <w:pPr>
        <w:pStyle w:val="Default"/>
        <w:spacing w:line="276" w:lineRule="auto"/>
        <w:rPr>
          <w:rFonts w:ascii="Arial" w:hAnsi="Arial" w:cs="Arial"/>
          <w:strike/>
          <w:color w:val="auto"/>
        </w:rPr>
      </w:pPr>
    </w:p>
    <w:p w14:paraId="2E84FD19" w14:textId="77777777" w:rsidR="005D4329" w:rsidRPr="00AA7336" w:rsidRDefault="005D4329" w:rsidP="005D4329">
      <w:pPr>
        <w:pStyle w:val="Default"/>
        <w:spacing w:line="276" w:lineRule="auto"/>
        <w:rPr>
          <w:rFonts w:ascii="Arial" w:eastAsia="Arial" w:hAnsi="Arial" w:cs="Arial"/>
          <w:bCs/>
          <w:strike/>
          <w:color w:val="auto"/>
        </w:rPr>
      </w:pPr>
      <w:r w:rsidRPr="00AA7336">
        <w:rPr>
          <w:rFonts w:ascii="Arial" w:eastAsia="Arial" w:hAnsi="Arial" w:cs="Arial"/>
          <w:bCs/>
          <w:strike/>
          <w:color w:val="auto"/>
        </w:rPr>
        <w:t>Please refer to section 5.5.7 of this city development plan – Policy QHSN40.</w:t>
      </w:r>
    </w:p>
    <w:p w14:paraId="3EEE65C0" w14:textId="77777777" w:rsidR="005D4329" w:rsidRPr="00AA7336" w:rsidRDefault="005D4329" w:rsidP="005D4329">
      <w:pPr>
        <w:pStyle w:val="Default"/>
        <w:spacing w:line="276" w:lineRule="auto"/>
        <w:rPr>
          <w:rFonts w:ascii="Arial" w:hAnsi="Arial" w:cs="Arial"/>
          <w:strike/>
          <w:color w:val="auto"/>
        </w:rPr>
      </w:pPr>
    </w:p>
    <w:p w14:paraId="5AC23D08" w14:textId="77777777" w:rsidR="005D4329" w:rsidRPr="00AA7336" w:rsidRDefault="005D4329" w:rsidP="005D4329">
      <w:pPr>
        <w:spacing w:after="0"/>
        <w:rPr>
          <w:rFonts w:ascii="Arial" w:hAnsi="Arial" w:cs="Arial"/>
          <w:strike/>
          <w:sz w:val="24"/>
          <w:szCs w:val="24"/>
        </w:rPr>
      </w:pPr>
      <w:r w:rsidRPr="00AA7336">
        <w:rPr>
          <w:rFonts w:ascii="Arial" w:hAnsi="Arial" w:cs="Arial"/>
          <w:strike/>
          <w:sz w:val="24"/>
          <w:szCs w:val="24"/>
        </w:rPr>
        <w:t xml:space="preserve">Furthermore, whilst BTR is considered </w:t>
      </w:r>
      <w:proofErr w:type="gramStart"/>
      <w:r w:rsidRPr="00AA7336">
        <w:rPr>
          <w:rFonts w:ascii="Arial" w:hAnsi="Arial" w:cs="Arial"/>
          <w:strike/>
          <w:sz w:val="24"/>
          <w:szCs w:val="24"/>
        </w:rPr>
        <w:t>to be an</w:t>
      </w:r>
      <w:proofErr w:type="gramEnd"/>
      <w:r w:rsidRPr="00AA7336">
        <w:rPr>
          <w:rFonts w:ascii="Arial" w:hAnsi="Arial" w:cs="Arial"/>
          <w:strike/>
          <w:sz w:val="24"/>
          <w:szCs w:val="24"/>
        </w:rPr>
        <w:t xml:space="preserve"> integral part in achieving an appropriate mix of housing in the right locations, there will be a presumption against the proliferation and over concentration of Build to Rent development in any one area (refer to Section 5.5.7 of Chapter 5 Quality Housing and Sustainable Neighbourhoods). Applications for “Build to Rent” developments should be accompanied by an assessment of other permitted </w:t>
      </w:r>
      <w:r w:rsidRPr="00AA7336">
        <w:rPr>
          <w:rFonts w:ascii="Arial" w:hAnsi="Arial" w:cs="Arial"/>
          <w:bCs/>
          <w:strike/>
          <w:sz w:val="24"/>
          <w:szCs w:val="24"/>
        </w:rPr>
        <w:t xml:space="preserve">and proposed </w:t>
      </w:r>
      <w:r w:rsidRPr="00AA7336">
        <w:rPr>
          <w:rFonts w:ascii="Arial" w:hAnsi="Arial" w:cs="Arial"/>
          <w:strike/>
          <w:sz w:val="24"/>
          <w:szCs w:val="24"/>
        </w:rPr>
        <w:t xml:space="preserve">BTR developments </w:t>
      </w:r>
      <w:r w:rsidRPr="00AA7336">
        <w:rPr>
          <w:rFonts w:ascii="Arial" w:hAnsi="Arial" w:cs="Arial"/>
          <w:bCs/>
          <w:strike/>
          <w:sz w:val="24"/>
          <w:szCs w:val="24"/>
        </w:rPr>
        <w:t xml:space="preserve">within a 1km radius </w:t>
      </w:r>
      <w:r w:rsidRPr="00AA7336">
        <w:rPr>
          <w:rFonts w:ascii="Arial" w:hAnsi="Arial" w:cs="Arial"/>
          <w:strike/>
          <w:sz w:val="24"/>
          <w:szCs w:val="24"/>
        </w:rPr>
        <w:t xml:space="preserve">of the site to demonstrate: </w:t>
      </w:r>
    </w:p>
    <w:p w14:paraId="68AC4447" w14:textId="77777777" w:rsidR="005D4329" w:rsidRPr="00AA7336" w:rsidRDefault="005D4329" w:rsidP="005D4329">
      <w:pPr>
        <w:spacing w:after="0"/>
        <w:rPr>
          <w:rFonts w:ascii="Arial" w:hAnsi="Arial" w:cs="Arial"/>
          <w:strike/>
          <w:sz w:val="24"/>
          <w:szCs w:val="24"/>
        </w:rPr>
      </w:pPr>
    </w:p>
    <w:p w14:paraId="33C458F8" w14:textId="77777777" w:rsidR="005D4329" w:rsidRPr="00AA7336" w:rsidRDefault="005D4329" w:rsidP="005D4329">
      <w:pPr>
        <w:pStyle w:val="ListParagraph"/>
        <w:numPr>
          <w:ilvl w:val="0"/>
          <w:numId w:val="19"/>
        </w:numPr>
        <w:spacing w:line="276" w:lineRule="auto"/>
        <w:contextualSpacing/>
        <w:rPr>
          <w:rFonts w:ascii="Arial" w:hAnsi="Arial" w:cs="Arial"/>
          <w:strike/>
        </w:rPr>
      </w:pPr>
      <w:proofErr w:type="gramStart"/>
      <w:r w:rsidRPr="00AA7336">
        <w:rPr>
          <w:rFonts w:ascii="Arial" w:hAnsi="Arial" w:cs="Arial"/>
          <w:strike/>
        </w:rPr>
        <w:t>that</w:t>
      </w:r>
      <w:proofErr w:type="gramEnd"/>
      <w:r w:rsidRPr="00AA7336">
        <w:rPr>
          <w:rFonts w:ascii="Arial" w:hAnsi="Arial" w:cs="Arial"/>
          <w:strike/>
        </w:rPr>
        <w:t xml:space="preserve"> the development would not result in the over concentration of one housing tenure in a particular area. </w:t>
      </w:r>
    </w:p>
    <w:p w14:paraId="0E9601A1" w14:textId="77777777" w:rsidR="005D4329" w:rsidRPr="00F62016" w:rsidRDefault="005D4329" w:rsidP="005D4329">
      <w:pPr>
        <w:pStyle w:val="ListParagraph"/>
        <w:numPr>
          <w:ilvl w:val="0"/>
          <w:numId w:val="19"/>
        </w:numPr>
        <w:spacing w:line="276" w:lineRule="auto"/>
        <w:contextualSpacing/>
        <w:rPr>
          <w:rFonts w:ascii="Arial" w:eastAsia="Arial" w:hAnsi="Arial" w:cs="Arial"/>
          <w:bCs/>
          <w:strike/>
        </w:rPr>
      </w:pPr>
      <w:proofErr w:type="gramStart"/>
      <w:r w:rsidRPr="00AA7336">
        <w:rPr>
          <w:rFonts w:ascii="Arial" w:hAnsi="Arial" w:cs="Arial"/>
          <w:bCs/>
          <w:strike/>
        </w:rPr>
        <w:t>how</w:t>
      </w:r>
      <w:proofErr w:type="gramEnd"/>
      <w:r w:rsidRPr="00AA7336">
        <w:rPr>
          <w:rFonts w:ascii="Arial" w:hAnsi="Arial" w:cs="Arial"/>
          <w:bCs/>
          <w:strike/>
        </w:rPr>
        <w:t xml:space="preserve"> the development supports housing need, particularly with regard to tenure, unit size and accessibility with particular reference to the Dublin City Council Housing Need and Demand Assessment.</w:t>
      </w:r>
    </w:p>
    <w:p w14:paraId="2BC947AB" w14:textId="77777777" w:rsidR="005D4329" w:rsidRPr="00AA7336" w:rsidRDefault="005D4329" w:rsidP="005D4329">
      <w:pPr>
        <w:pStyle w:val="ListParagraph"/>
        <w:contextualSpacing/>
        <w:rPr>
          <w:rFonts w:ascii="Arial" w:eastAsia="Arial" w:hAnsi="Arial" w:cs="Arial"/>
          <w:bCs/>
          <w:strike/>
        </w:rPr>
      </w:pPr>
    </w:p>
    <w:p w14:paraId="63CF3E37" w14:textId="77777777" w:rsidR="005D4329" w:rsidRPr="00AA7336" w:rsidRDefault="005D4329" w:rsidP="005D4329">
      <w:pPr>
        <w:pStyle w:val="Heading3"/>
        <w:rPr>
          <w:rFonts w:ascii="Arial" w:hAnsi="Arial" w:cs="Arial"/>
          <w:strike/>
        </w:rPr>
      </w:pPr>
      <w:r w:rsidRPr="00AA7336">
        <w:rPr>
          <w:rFonts w:ascii="Arial" w:hAnsi="Arial" w:cs="Arial"/>
          <w:strike/>
        </w:rPr>
        <w:t>15.10.1</w:t>
      </w:r>
      <w:r w:rsidRPr="00AA7336">
        <w:rPr>
          <w:rFonts w:ascii="Arial" w:hAnsi="Arial" w:cs="Arial"/>
          <w:strike/>
        </w:rPr>
        <w:tab/>
        <w:t xml:space="preserve">Design Standards </w:t>
      </w:r>
    </w:p>
    <w:p w14:paraId="2092AEAE" w14:textId="77777777" w:rsidR="005D4329" w:rsidRPr="00AA7336" w:rsidRDefault="005D4329" w:rsidP="005D4329">
      <w:pPr>
        <w:rPr>
          <w:rFonts w:ascii="Arial" w:hAnsi="Arial" w:cs="Arial"/>
          <w:strike/>
          <w:sz w:val="24"/>
          <w:szCs w:val="24"/>
        </w:rPr>
      </w:pPr>
      <w:r w:rsidRPr="00AA7336">
        <w:rPr>
          <w:rFonts w:ascii="Arial" w:hAnsi="Arial" w:cs="Arial"/>
          <w:strike/>
          <w:sz w:val="24"/>
          <w:szCs w:val="24"/>
        </w:rPr>
        <w:t>The Sustainable Urban Development Design Standards for New Apartments set out specific planning policy requirements for “Build to Rent” developments. SPPR7 refers to the provision of resident support facilities (laundry, concierge, management facilities etc.) and resident services and amenities (sports facilities, resident lounge, function rooms, co-working spaces etc.).</w:t>
      </w:r>
    </w:p>
    <w:p w14:paraId="364415DD" w14:textId="77777777" w:rsidR="005D4329" w:rsidRPr="00AA7336" w:rsidRDefault="005D4329" w:rsidP="005D4329">
      <w:pPr>
        <w:rPr>
          <w:rFonts w:ascii="Arial" w:hAnsi="Arial" w:cs="Arial"/>
          <w:strike/>
          <w:sz w:val="24"/>
          <w:szCs w:val="24"/>
        </w:rPr>
      </w:pPr>
      <w:r w:rsidRPr="00AA7336">
        <w:rPr>
          <w:rFonts w:ascii="Arial" w:hAnsi="Arial" w:cs="Arial"/>
          <w:strike/>
          <w:sz w:val="24"/>
          <w:szCs w:val="24"/>
        </w:rPr>
        <w:t xml:space="preserve">Whist the guidelines do not provide for a quantitative standard residential support facilities and resident services and amenities, a general guideline of 3 sq. m. per person is recommended. This will be assessed on a case by case basis where the applicant can demonstrate a high standard of services and facilities. </w:t>
      </w:r>
    </w:p>
    <w:p w14:paraId="6D079227" w14:textId="77777777" w:rsidR="005D4329" w:rsidRPr="00AA7336" w:rsidRDefault="005D4329" w:rsidP="005D4329">
      <w:pPr>
        <w:rPr>
          <w:rFonts w:ascii="Arial" w:hAnsi="Arial" w:cs="Arial"/>
          <w:strike/>
          <w:sz w:val="24"/>
          <w:szCs w:val="24"/>
        </w:rPr>
      </w:pPr>
      <w:r w:rsidRPr="00AA7336">
        <w:rPr>
          <w:rFonts w:ascii="Arial" w:hAnsi="Arial" w:cs="Arial"/>
          <w:strike/>
          <w:sz w:val="24"/>
          <w:szCs w:val="24"/>
        </w:rPr>
        <w:t xml:space="preserve">SPPR8 refers to specific relaxations that can be applied to BTR scheme which differentiate BTR schemes from standard residential developments. </w:t>
      </w:r>
    </w:p>
    <w:p w14:paraId="567EDE53" w14:textId="77777777" w:rsidR="005D4329" w:rsidRPr="00AA7336" w:rsidRDefault="005D4329" w:rsidP="005D4329">
      <w:pPr>
        <w:rPr>
          <w:rFonts w:ascii="Arial" w:hAnsi="Arial" w:cs="Arial"/>
          <w:strike/>
          <w:sz w:val="24"/>
          <w:szCs w:val="24"/>
        </w:rPr>
      </w:pPr>
      <w:r w:rsidRPr="00AA7336">
        <w:rPr>
          <w:rFonts w:ascii="Arial" w:hAnsi="Arial" w:cs="Arial"/>
          <w:strike/>
          <w:sz w:val="24"/>
          <w:szCs w:val="24"/>
        </w:rPr>
        <w:t xml:space="preserve">SPPR8 (ii) states that flexibility can be applied to the provision of storage space, private amenity space and communal space within a scheme at the discretion of the planning authority. </w:t>
      </w:r>
    </w:p>
    <w:p w14:paraId="5C23EF3E" w14:textId="77777777" w:rsidR="005D4329" w:rsidRPr="00AA7336" w:rsidRDefault="005D4329" w:rsidP="005D4329">
      <w:pPr>
        <w:rPr>
          <w:rFonts w:ascii="Arial" w:hAnsi="Arial" w:cs="Arial"/>
          <w:strike/>
          <w:sz w:val="24"/>
          <w:szCs w:val="24"/>
        </w:rPr>
      </w:pPr>
      <w:r w:rsidRPr="00AA7336">
        <w:rPr>
          <w:rFonts w:ascii="Arial" w:hAnsi="Arial" w:cs="Arial"/>
          <w:strike/>
          <w:sz w:val="24"/>
          <w:szCs w:val="24"/>
        </w:rPr>
        <w:lastRenderedPageBreak/>
        <w:t xml:space="preserve">There is a general presumption against excessive derogation of these requirements, in particular, private amenity space. Where derogations of private amenity space are sought, there will be an onus on the applicant to demonstrate that the quality of the unit is of a higher standard, e.g. in excess of the minimum floor area, contains unique design features and that the loss/reduction of private amenity is compensated within the communal amenity provision, e.g. if a unit requires 5 sq. m. of private amenity space, this quantum should be offset to provide for an additional 5 sq. m. communal amenity space. </w:t>
      </w:r>
    </w:p>
    <w:p w14:paraId="699DF63C" w14:textId="77777777" w:rsidR="005D4329" w:rsidRPr="00AA7336" w:rsidRDefault="005D4329" w:rsidP="005D4329">
      <w:pPr>
        <w:rPr>
          <w:rFonts w:ascii="Arial" w:hAnsi="Arial" w:cs="Arial"/>
          <w:strike/>
          <w:sz w:val="24"/>
          <w:szCs w:val="24"/>
        </w:rPr>
      </w:pPr>
      <w:r w:rsidRPr="00AA7336">
        <w:rPr>
          <w:rFonts w:ascii="Arial" w:hAnsi="Arial" w:cs="Arial"/>
          <w:strike/>
          <w:sz w:val="24"/>
          <w:szCs w:val="24"/>
        </w:rPr>
        <w:t xml:space="preserve">Dublin City Council will seek to ensure a high level of amenity is provided within BTR schemes. All applications should seek to demonstrate compliance with the relevant standards for storage, private and communal open space as set out in Appendix 1 of the Sustainable Urban Housing: Design Standards for New Apartments. </w:t>
      </w:r>
    </w:p>
    <w:p w14:paraId="6BFC5E65" w14:textId="77777777" w:rsidR="005D4329" w:rsidRPr="00AA7336" w:rsidRDefault="005D4329" w:rsidP="005D4329">
      <w:pPr>
        <w:rPr>
          <w:rFonts w:ascii="Arial" w:hAnsi="Arial" w:cs="Arial"/>
          <w:strike/>
          <w:sz w:val="24"/>
          <w:szCs w:val="24"/>
        </w:rPr>
      </w:pPr>
      <w:r w:rsidRPr="00AA7336">
        <w:rPr>
          <w:rFonts w:ascii="Arial" w:hAnsi="Arial" w:cs="Arial"/>
          <w:strike/>
          <w:sz w:val="24"/>
          <w:szCs w:val="24"/>
        </w:rPr>
        <w:t>In all cases, the onus will be on the project proposer to demonstrate the overall quality of the facilities provided and that residents will enjoy an enhanced overall standard of amenity.</w:t>
      </w:r>
    </w:p>
    <w:p w14:paraId="4BBE3988" w14:textId="77777777" w:rsidR="005D4329" w:rsidRPr="00AA7336" w:rsidRDefault="005D4329" w:rsidP="005D4329">
      <w:pPr>
        <w:pStyle w:val="Heading3"/>
        <w:rPr>
          <w:rFonts w:ascii="Arial" w:hAnsi="Arial" w:cs="Arial"/>
          <w:strike/>
        </w:rPr>
      </w:pPr>
      <w:r w:rsidRPr="00AA7336">
        <w:rPr>
          <w:rFonts w:ascii="Arial" w:hAnsi="Arial" w:cs="Arial"/>
          <w:strike/>
        </w:rPr>
        <w:t>15.10.2</w:t>
      </w:r>
      <w:r w:rsidRPr="00AA7336">
        <w:rPr>
          <w:rFonts w:ascii="Arial" w:hAnsi="Arial" w:cs="Arial"/>
          <w:strike/>
        </w:rPr>
        <w:tab/>
        <w:t>Communal and Public Open Space</w:t>
      </w:r>
    </w:p>
    <w:p w14:paraId="5BB20586" w14:textId="77777777" w:rsidR="005D4329" w:rsidRDefault="005D4329" w:rsidP="005D4329">
      <w:pPr>
        <w:rPr>
          <w:rFonts w:ascii="Arial" w:hAnsi="Arial" w:cs="Arial"/>
          <w:strike/>
          <w:sz w:val="24"/>
          <w:szCs w:val="24"/>
        </w:rPr>
      </w:pPr>
      <w:r w:rsidRPr="00AA7336">
        <w:rPr>
          <w:rFonts w:ascii="Arial" w:hAnsi="Arial" w:cs="Arial"/>
          <w:strike/>
          <w:sz w:val="24"/>
          <w:szCs w:val="24"/>
        </w:rPr>
        <w:t>All Built to Rent developments will be required to provide for the same quantum of external communal open space and public open space as set out for standard apartment developments, see Section 15.6.12 and 15.8.6.</w:t>
      </w:r>
    </w:p>
    <w:p w14:paraId="578ACDD4" w14:textId="77777777" w:rsidR="005D4329" w:rsidRPr="00AA7336" w:rsidRDefault="005D4329" w:rsidP="005D4329">
      <w:pPr>
        <w:rPr>
          <w:rFonts w:ascii="Arial" w:hAnsi="Arial" w:cs="Arial"/>
          <w:strike/>
          <w:sz w:val="24"/>
          <w:szCs w:val="24"/>
        </w:rPr>
      </w:pPr>
    </w:p>
    <w:p w14:paraId="03072A4B" w14:textId="77777777" w:rsidR="005D4329" w:rsidRDefault="005D4329" w:rsidP="005D4329">
      <w:pPr>
        <w:jc w:val="both"/>
        <w:rPr>
          <w:rFonts w:ascii="Arial" w:hAnsi="Arial" w:cs="Arial"/>
          <w:b/>
          <w:sz w:val="28"/>
          <w:szCs w:val="28"/>
        </w:rPr>
      </w:pPr>
      <w:r>
        <w:rPr>
          <w:rFonts w:ascii="Arial" w:hAnsi="Arial" w:cs="Arial"/>
          <w:b/>
          <w:sz w:val="28"/>
          <w:szCs w:val="28"/>
        </w:rPr>
        <w:t>Glossary and Acronyms</w:t>
      </w:r>
    </w:p>
    <w:p w14:paraId="44EE1E6B"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Glossary</w:t>
      </w:r>
    </w:p>
    <w:p w14:paraId="7E11B7ED"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Build to Rent Residential Accommodation</w:t>
      </w:r>
    </w:p>
    <w:p w14:paraId="08C9F3C4"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661</w:t>
      </w:r>
    </w:p>
    <w:p w14:paraId="469952A3" w14:textId="77777777" w:rsidR="005D4329" w:rsidRDefault="005D4329" w:rsidP="005D4329">
      <w:pPr>
        <w:rPr>
          <w:rFonts w:cstheme="minorHAnsi"/>
          <w:szCs w:val="24"/>
        </w:rPr>
      </w:pPr>
    </w:p>
    <w:p w14:paraId="0304060B" w14:textId="77777777" w:rsidR="005D4329" w:rsidRPr="00B26556" w:rsidRDefault="005D4329" w:rsidP="005D4329">
      <w:pPr>
        <w:jc w:val="both"/>
        <w:rPr>
          <w:rFonts w:ascii="Arial" w:hAnsi="Arial" w:cs="Arial"/>
          <w:bCs/>
          <w:sz w:val="24"/>
          <w:szCs w:val="24"/>
        </w:rPr>
      </w:pPr>
      <w:r w:rsidRPr="00474258">
        <w:rPr>
          <w:rFonts w:ascii="Arial" w:hAnsi="Arial" w:cs="Arial"/>
          <w:bCs/>
          <w:sz w:val="24"/>
          <w:szCs w:val="24"/>
          <w:highlight w:val="yellow"/>
        </w:rPr>
        <w:t>Proposed Amendment Reference No. 15</w:t>
      </w:r>
    </w:p>
    <w:p w14:paraId="4C688AC5" w14:textId="77777777" w:rsidR="005D4329" w:rsidRPr="000B70F0" w:rsidRDefault="005D4329" w:rsidP="005D4329">
      <w:pPr>
        <w:rPr>
          <w:rFonts w:ascii="Arial" w:hAnsi="Arial" w:cs="Arial"/>
          <w:sz w:val="24"/>
          <w:szCs w:val="24"/>
        </w:rPr>
      </w:pPr>
      <w:r w:rsidRPr="000B70F0">
        <w:rPr>
          <w:rFonts w:ascii="Arial" w:hAnsi="Arial" w:cs="Arial"/>
          <w:sz w:val="24"/>
          <w:szCs w:val="24"/>
        </w:rPr>
        <w:t>Delete</w:t>
      </w:r>
      <w:r>
        <w:rPr>
          <w:rFonts w:ascii="Arial" w:hAnsi="Arial" w:cs="Arial"/>
          <w:sz w:val="24"/>
          <w:szCs w:val="24"/>
        </w:rPr>
        <w:t xml:space="preserve"> as indicated</w:t>
      </w:r>
      <w:r w:rsidRPr="000B70F0">
        <w:rPr>
          <w:rFonts w:ascii="Arial" w:hAnsi="Arial" w:cs="Arial"/>
          <w:sz w:val="24"/>
          <w:szCs w:val="24"/>
        </w:rPr>
        <w:t>:</w:t>
      </w:r>
    </w:p>
    <w:p w14:paraId="61A078F0" w14:textId="77777777" w:rsidR="005D4329" w:rsidRPr="00F422F0" w:rsidRDefault="005D4329" w:rsidP="005D4329">
      <w:pPr>
        <w:spacing w:after="120"/>
        <w:rPr>
          <w:rFonts w:ascii="Arial" w:hAnsi="Arial" w:cs="Arial"/>
          <w:strike/>
          <w:sz w:val="24"/>
          <w:szCs w:val="24"/>
        </w:rPr>
      </w:pPr>
      <w:r w:rsidRPr="00F422F0">
        <w:rPr>
          <w:rFonts w:ascii="Arial" w:hAnsi="Arial" w:cs="Arial"/>
          <w:b/>
          <w:sz w:val="24"/>
          <w:szCs w:val="24"/>
        </w:rPr>
        <w:t>Build to Rent Residential Accommodation:</w:t>
      </w:r>
      <w:r w:rsidRPr="00F422F0">
        <w:rPr>
          <w:rFonts w:ascii="Arial" w:hAnsi="Arial" w:cs="Arial"/>
          <w:sz w:val="24"/>
          <w:szCs w:val="24"/>
        </w:rPr>
        <w:t xml:space="preserve"> Purpose-built residential accommodation and associated amenities built specifically for long-term rental that is managed and serviced in an institutional manner by an institutional landlord. </w:t>
      </w:r>
      <w:r w:rsidRPr="00F422F0">
        <w:rPr>
          <w:rFonts w:ascii="Arial" w:hAnsi="Arial" w:cs="Arial"/>
          <w:strike/>
          <w:sz w:val="24"/>
          <w:szCs w:val="24"/>
        </w:rPr>
        <w:t>(see also Section 5.2 of the DHLG&amp;H’s Section 28 Guidelines, ‘’Sustainable Urban Housing: Design Standards for new Apartment’s” (2020).</w:t>
      </w:r>
    </w:p>
    <w:p w14:paraId="644C8A11" w14:textId="77777777" w:rsidR="005D4329" w:rsidRDefault="005D4329" w:rsidP="005D4329">
      <w:pPr>
        <w:jc w:val="both"/>
        <w:rPr>
          <w:rFonts w:ascii="Arial" w:hAnsi="Arial" w:cs="Arial"/>
          <w:b/>
        </w:rPr>
      </w:pPr>
    </w:p>
    <w:p w14:paraId="6759AA2E" w14:textId="77777777" w:rsidR="005D4329" w:rsidRDefault="005D4329" w:rsidP="005D4329">
      <w:pPr>
        <w:jc w:val="both"/>
        <w:rPr>
          <w:rFonts w:ascii="Arial" w:hAnsi="Arial" w:cs="Arial"/>
          <w:b/>
          <w:sz w:val="28"/>
          <w:szCs w:val="28"/>
        </w:rPr>
      </w:pPr>
      <w:r>
        <w:rPr>
          <w:rFonts w:ascii="Arial" w:hAnsi="Arial" w:cs="Arial"/>
          <w:b/>
          <w:sz w:val="28"/>
          <w:szCs w:val="28"/>
        </w:rPr>
        <w:t>Appendix 14: Statement Demonstrating Compliance with Section 28 Guidelines</w:t>
      </w:r>
    </w:p>
    <w:p w14:paraId="75E29826"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Volume 2 Appendices</w:t>
      </w:r>
    </w:p>
    <w:p w14:paraId="10F3EA29"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Appendix 14: Statement Demonstrating Compliance with Section 28 Guidelines</w:t>
      </w:r>
    </w:p>
    <w:p w14:paraId="786AE036" w14:textId="77777777" w:rsidR="005D4329" w:rsidRPr="0007493A" w:rsidRDefault="005D4329" w:rsidP="005D4329">
      <w:pPr>
        <w:spacing w:after="0" w:line="240" w:lineRule="auto"/>
        <w:jc w:val="both"/>
        <w:rPr>
          <w:rFonts w:ascii="Arial" w:hAnsi="Arial" w:cs="Arial"/>
          <w:b/>
          <w:sz w:val="24"/>
          <w:szCs w:val="24"/>
        </w:rPr>
      </w:pPr>
      <w:r w:rsidRPr="0007493A">
        <w:rPr>
          <w:rFonts w:ascii="Arial" w:hAnsi="Arial" w:cs="Arial"/>
          <w:b/>
          <w:sz w:val="24"/>
          <w:szCs w:val="24"/>
        </w:rPr>
        <w:t>Table 2: Implementation of SPPRs from DLPLG (2018) Sustainable Urban Housing</w:t>
      </w:r>
    </w:p>
    <w:p w14:paraId="37287619"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371</w:t>
      </w:r>
    </w:p>
    <w:p w14:paraId="1C6B2746" w14:textId="77777777" w:rsidR="005D4329" w:rsidRPr="00B26556" w:rsidRDefault="005D4329" w:rsidP="005D4329">
      <w:pPr>
        <w:jc w:val="both"/>
        <w:rPr>
          <w:rFonts w:ascii="Arial" w:hAnsi="Arial" w:cs="Arial"/>
          <w:bCs/>
          <w:sz w:val="24"/>
          <w:szCs w:val="24"/>
        </w:rPr>
      </w:pPr>
      <w:r w:rsidRPr="00474258">
        <w:rPr>
          <w:rFonts w:ascii="Arial" w:hAnsi="Arial" w:cs="Arial"/>
          <w:bCs/>
          <w:sz w:val="24"/>
          <w:szCs w:val="24"/>
          <w:highlight w:val="yellow"/>
        </w:rPr>
        <w:lastRenderedPageBreak/>
        <w:t>Proposed Amendment Reference No. 16</w:t>
      </w:r>
    </w:p>
    <w:p w14:paraId="55CE6E09" w14:textId="77777777" w:rsidR="005D4329" w:rsidRPr="0007493A" w:rsidRDefault="005D4329" w:rsidP="005D4329">
      <w:pPr>
        <w:spacing w:after="0" w:line="240" w:lineRule="auto"/>
        <w:jc w:val="both"/>
        <w:rPr>
          <w:rFonts w:ascii="Arial" w:hAnsi="Arial" w:cs="Arial"/>
          <w:sz w:val="24"/>
          <w:szCs w:val="24"/>
        </w:rPr>
      </w:pPr>
      <w:r w:rsidRPr="0007493A">
        <w:rPr>
          <w:rFonts w:ascii="Arial" w:hAnsi="Arial" w:cs="Arial"/>
          <w:sz w:val="24"/>
          <w:szCs w:val="24"/>
        </w:rPr>
        <w:t>Delete text below from Table 2: Implementation of SPPRS from DLPLG (2018) Sustainable Urban Housing as indicated:</w:t>
      </w:r>
    </w:p>
    <w:p w14:paraId="6B6045A7" w14:textId="77777777" w:rsidR="005D4329" w:rsidRPr="004D2589" w:rsidRDefault="005D4329" w:rsidP="005D4329">
      <w:pPr>
        <w:spacing w:after="0"/>
        <w:contextualSpacing/>
        <w:rPr>
          <w:lang w:val="en-GB"/>
        </w:rPr>
      </w:pPr>
    </w:p>
    <w:p w14:paraId="675D1792" w14:textId="77777777" w:rsidR="005D4329" w:rsidRDefault="005D4329" w:rsidP="005D4329">
      <w:pPr>
        <w:jc w:val="both"/>
        <w:rPr>
          <w:rFonts w:ascii="Arial" w:hAnsi="Arial" w:cs="Arial"/>
          <w:b/>
          <w:sz w:val="28"/>
          <w:szCs w:val="28"/>
        </w:rPr>
      </w:pP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BE4D5" w:themeFill="accent2" w:themeFillTint="33"/>
        <w:tblLook w:val="04A0" w:firstRow="1" w:lastRow="0" w:firstColumn="1" w:lastColumn="0" w:noHBand="0" w:noVBand="1"/>
      </w:tblPr>
      <w:tblGrid>
        <w:gridCol w:w="4508"/>
        <w:gridCol w:w="4508"/>
      </w:tblGrid>
      <w:tr w:rsidR="005D4329" w:rsidRPr="003B03AF" w14:paraId="17871430" w14:textId="77777777" w:rsidTr="00C61CA9">
        <w:trPr>
          <w:cantSplit/>
        </w:trPr>
        <w:tc>
          <w:tcPr>
            <w:tcW w:w="4508" w:type="dxa"/>
            <w:shd w:val="clear" w:color="auto" w:fill="FBE4D5" w:themeFill="accent2" w:themeFillTint="33"/>
            <w:vAlign w:val="center"/>
          </w:tcPr>
          <w:p w14:paraId="795E1846" w14:textId="77777777" w:rsidR="005D4329" w:rsidRPr="000E14EE" w:rsidRDefault="005D4329" w:rsidP="00C61CA9">
            <w:pPr>
              <w:spacing w:before="100" w:after="100"/>
              <w:rPr>
                <w:strike/>
              </w:rPr>
            </w:pPr>
            <w:r w:rsidRPr="000E14EE">
              <w:rPr>
                <w:b/>
                <w:strike/>
              </w:rPr>
              <w:t xml:space="preserve">SPPR 7: </w:t>
            </w:r>
            <w:r w:rsidRPr="000E14EE">
              <w:rPr>
                <w:strike/>
              </w:rPr>
              <w:t>BTR development</w:t>
            </w:r>
          </w:p>
        </w:tc>
        <w:tc>
          <w:tcPr>
            <w:tcW w:w="4508" w:type="dxa"/>
            <w:shd w:val="clear" w:color="auto" w:fill="FBE4D5" w:themeFill="accent2" w:themeFillTint="33"/>
            <w:vAlign w:val="center"/>
          </w:tcPr>
          <w:p w14:paraId="29D62646" w14:textId="77777777" w:rsidR="005D4329" w:rsidRPr="000E14EE" w:rsidRDefault="005D4329" w:rsidP="00C61CA9">
            <w:pPr>
              <w:spacing w:before="100" w:after="100"/>
              <w:rPr>
                <w:strike/>
              </w:rPr>
            </w:pPr>
            <w:r w:rsidRPr="000E14EE">
              <w:rPr>
                <w:strike/>
              </w:rPr>
              <w:t>Chapter 15 Development Standards, which sets out the relevant standards relating to BTR developments, complies with SPPR7.</w:t>
            </w:r>
          </w:p>
        </w:tc>
      </w:tr>
      <w:tr w:rsidR="005D4329" w:rsidRPr="003B03AF" w14:paraId="64D66FB7" w14:textId="77777777" w:rsidTr="00C61CA9">
        <w:trPr>
          <w:cantSplit/>
        </w:trPr>
        <w:tc>
          <w:tcPr>
            <w:tcW w:w="4508" w:type="dxa"/>
            <w:shd w:val="clear" w:color="auto" w:fill="F7CAAC" w:themeFill="accent2" w:themeFillTint="66"/>
          </w:tcPr>
          <w:p w14:paraId="341E373A" w14:textId="77777777" w:rsidR="005D4329" w:rsidRPr="000E14EE" w:rsidRDefault="005D4329" w:rsidP="00C61CA9">
            <w:pPr>
              <w:spacing w:before="100" w:after="100"/>
              <w:rPr>
                <w:strike/>
              </w:rPr>
            </w:pPr>
            <w:r w:rsidRPr="000E14EE">
              <w:rPr>
                <w:b/>
                <w:strike/>
              </w:rPr>
              <w:t>SPPR 8:</w:t>
            </w:r>
            <w:r w:rsidRPr="000E14EE">
              <w:rPr>
                <w:strike/>
              </w:rPr>
              <w:t xml:space="preserve"> Proposals that qualify as specific BTR development</w:t>
            </w:r>
          </w:p>
        </w:tc>
        <w:tc>
          <w:tcPr>
            <w:tcW w:w="4508" w:type="dxa"/>
            <w:shd w:val="clear" w:color="auto" w:fill="F7CAAC" w:themeFill="accent2" w:themeFillTint="66"/>
          </w:tcPr>
          <w:p w14:paraId="063971FB" w14:textId="77777777" w:rsidR="005D4329" w:rsidRPr="000E14EE" w:rsidRDefault="005D4329" w:rsidP="00C61CA9">
            <w:pPr>
              <w:spacing w:before="100" w:after="100"/>
              <w:rPr>
                <w:strike/>
              </w:rPr>
            </w:pPr>
            <w:r w:rsidRPr="000E14EE">
              <w:rPr>
                <w:strike/>
              </w:rPr>
              <w:t>Chapter 15 Development Standards, which sets out the relevant standards relating to BTR developments, complies with SPPR8.</w:t>
            </w:r>
          </w:p>
        </w:tc>
      </w:tr>
    </w:tbl>
    <w:p w14:paraId="1188AEE7" w14:textId="77777777" w:rsidR="005D4329" w:rsidRDefault="005D4329" w:rsidP="005D4329">
      <w:pPr>
        <w:jc w:val="both"/>
        <w:rPr>
          <w:rFonts w:ascii="Arial" w:hAnsi="Arial" w:cs="Arial"/>
          <w:b/>
          <w:sz w:val="28"/>
          <w:szCs w:val="28"/>
        </w:rPr>
      </w:pPr>
    </w:p>
    <w:p w14:paraId="43AA8B37" w14:textId="77777777" w:rsidR="005D4329" w:rsidRDefault="005D4329" w:rsidP="005D4329">
      <w:pPr>
        <w:jc w:val="both"/>
        <w:rPr>
          <w:rFonts w:ascii="Arial" w:hAnsi="Arial" w:cs="Arial"/>
          <w:b/>
          <w:sz w:val="28"/>
          <w:szCs w:val="28"/>
        </w:rPr>
      </w:pPr>
    </w:p>
    <w:p w14:paraId="00AB98C6" w14:textId="77777777" w:rsidR="005D4329" w:rsidRDefault="005D4329" w:rsidP="005D4329">
      <w:pPr>
        <w:jc w:val="both"/>
        <w:rPr>
          <w:rFonts w:ascii="Arial" w:hAnsi="Arial" w:cs="Arial"/>
          <w:b/>
          <w:sz w:val="28"/>
          <w:szCs w:val="28"/>
        </w:rPr>
      </w:pPr>
      <w:r>
        <w:rPr>
          <w:rFonts w:ascii="Arial" w:hAnsi="Arial" w:cs="Arial"/>
          <w:b/>
          <w:sz w:val="28"/>
          <w:szCs w:val="28"/>
        </w:rPr>
        <w:t>Appendix 15: Land Use Definitions</w:t>
      </w:r>
    </w:p>
    <w:p w14:paraId="52108499"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Volume 2 Appendices</w:t>
      </w:r>
    </w:p>
    <w:p w14:paraId="5EBBC2EA"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Appendix 15: Land Use Definitions</w:t>
      </w:r>
    </w:p>
    <w:p w14:paraId="64316E70"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Page 377</w:t>
      </w:r>
    </w:p>
    <w:p w14:paraId="576699F3" w14:textId="77777777" w:rsidR="005D4329" w:rsidRDefault="005D4329" w:rsidP="005D4329">
      <w:pPr>
        <w:jc w:val="both"/>
        <w:rPr>
          <w:rFonts w:ascii="Arial" w:hAnsi="Arial" w:cs="Arial"/>
          <w:b/>
          <w:sz w:val="28"/>
          <w:szCs w:val="28"/>
        </w:rPr>
      </w:pPr>
    </w:p>
    <w:p w14:paraId="162CE243" w14:textId="77777777" w:rsidR="005D4329" w:rsidRPr="00B26556" w:rsidRDefault="005D4329" w:rsidP="005D4329">
      <w:pPr>
        <w:jc w:val="both"/>
        <w:rPr>
          <w:rFonts w:ascii="Arial" w:hAnsi="Arial" w:cs="Arial"/>
          <w:bCs/>
          <w:sz w:val="24"/>
          <w:szCs w:val="24"/>
        </w:rPr>
      </w:pPr>
      <w:r w:rsidRPr="00474258">
        <w:rPr>
          <w:rFonts w:ascii="Arial" w:hAnsi="Arial" w:cs="Arial"/>
          <w:bCs/>
          <w:sz w:val="24"/>
          <w:szCs w:val="24"/>
          <w:highlight w:val="yellow"/>
        </w:rPr>
        <w:t>Proposed Amendment Reference No. 17</w:t>
      </w:r>
    </w:p>
    <w:p w14:paraId="52F0D5CB" w14:textId="77777777" w:rsidR="005D4329" w:rsidRPr="000B70F0" w:rsidRDefault="005D4329" w:rsidP="005D4329">
      <w:pPr>
        <w:rPr>
          <w:rFonts w:ascii="Arial" w:hAnsi="Arial" w:cs="Arial"/>
          <w:sz w:val="24"/>
          <w:szCs w:val="24"/>
        </w:rPr>
      </w:pPr>
      <w:r w:rsidRPr="000B70F0">
        <w:rPr>
          <w:rFonts w:ascii="Arial" w:hAnsi="Arial" w:cs="Arial"/>
          <w:sz w:val="24"/>
          <w:szCs w:val="24"/>
        </w:rPr>
        <w:t>Delete</w:t>
      </w:r>
      <w:r>
        <w:rPr>
          <w:rFonts w:ascii="Arial" w:hAnsi="Arial" w:cs="Arial"/>
          <w:sz w:val="24"/>
          <w:szCs w:val="24"/>
        </w:rPr>
        <w:t xml:space="preserve"> as indicated</w:t>
      </w:r>
      <w:r w:rsidRPr="000B70F0">
        <w:rPr>
          <w:rFonts w:ascii="Arial" w:hAnsi="Arial" w:cs="Arial"/>
          <w:sz w:val="24"/>
          <w:szCs w:val="24"/>
        </w:rPr>
        <w:t>:</w:t>
      </w:r>
    </w:p>
    <w:p w14:paraId="7C46A216" w14:textId="77777777" w:rsidR="005D4329" w:rsidRPr="00276D88" w:rsidRDefault="005D4329" w:rsidP="005D4329">
      <w:pPr>
        <w:pStyle w:val="Heading3"/>
        <w:rPr>
          <w:rFonts w:ascii="Arial" w:hAnsi="Arial" w:cs="Arial"/>
          <w:color w:val="auto"/>
        </w:rPr>
      </w:pPr>
      <w:r w:rsidRPr="00276D88">
        <w:rPr>
          <w:rFonts w:ascii="Arial" w:hAnsi="Arial" w:cs="Arial"/>
          <w:color w:val="auto"/>
        </w:rPr>
        <w:t>Build to Rent Residential Accommodation</w:t>
      </w:r>
    </w:p>
    <w:p w14:paraId="3CC521ED" w14:textId="77777777" w:rsidR="005D4329" w:rsidRPr="00276D88" w:rsidRDefault="005D4329" w:rsidP="005D4329">
      <w:pPr>
        <w:rPr>
          <w:rFonts w:ascii="Arial" w:hAnsi="Arial" w:cs="Arial"/>
          <w:strike/>
          <w:sz w:val="24"/>
          <w:szCs w:val="24"/>
        </w:rPr>
      </w:pPr>
      <w:r w:rsidRPr="00276D88">
        <w:rPr>
          <w:rFonts w:ascii="Arial" w:hAnsi="Arial" w:cs="Arial"/>
          <w:sz w:val="24"/>
          <w:szCs w:val="24"/>
        </w:rPr>
        <w:t xml:space="preserve">Purpose-built residential accommodation and associated amenities built specifically for long-term rental that is managed and serviced in an institutional manner by an institutional landlord. </w:t>
      </w:r>
      <w:r w:rsidRPr="00276D88">
        <w:rPr>
          <w:rFonts w:ascii="Arial" w:hAnsi="Arial" w:cs="Arial"/>
          <w:strike/>
          <w:sz w:val="24"/>
          <w:szCs w:val="24"/>
        </w:rPr>
        <w:t>(</w:t>
      </w:r>
      <w:proofErr w:type="gramStart"/>
      <w:r w:rsidRPr="00276D88">
        <w:rPr>
          <w:rFonts w:ascii="Arial" w:hAnsi="Arial" w:cs="Arial"/>
          <w:strike/>
          <w:sz w:val="24"/>
          <w:szCs w:val="24"/>
        </w:rPr>
        <w:t>see</w:t>
      </w:r>
      <w:proofErr w:type="gramEnd"/>
      <w:r w:rsidRPr="00276D88">
        <w:rPr>
          <w:rFonts w:ascii="Arial" w:hAnsi="Arial" w:cs="Arial"/>
          <w:strike/>
          <w:sz w:val="24"/>
          <w:szCs w:val="24"/>
        </w:rPr>
        <w:t xml:space="preserve"> also section 5.0 of the DHPLG Section 28 Guidelines, Sustainable Urban Housing: Design Standards for new Apartments (2020)).</w:t>
      </w:r>
    </w:p>
    <w:p w14:paraId="71B3455B" w14:textId="77777777" w:rsidR="005D4329" w:rsidRDefault="005D4329" w:rsidP="005D4329">
      <w:pPr>
        <w:rPr>
          <w:rFonts w:ascii="Arial" w:hAnsi="Arial" w:cs="Arial"/>
          <w:b/>
          <w:sz w:val="28"/>
          <w:szCs w:val="28"/>
        </w:rPr>
      </w:pPr>
      <w:r>
        <w:rPr>
          <w:rFonts w:ascii="Arial" w:hAnsi="Arial" w:cs="Arial"/>
          <w:b/>
          <w:sz w:val="28"/>
          <w:szCs w:val="28"/>
        </w:rPr>
        <w:br w:type="page"/>
      </w:r>
    </w:p>
    <w:p w14:paraId="0578A01C" w14:textId="77777777" w:rsidR="005D4329" w:rsidRDefault="005D4329" w:rsidP="005D4329">
      <w:pPr>
        <w:pBdr>
          <w:bottom w:val="single" w:sz="12" w:space="1" w:color="auto"/>
        </w:pBdr>
        <w:jc w:val="both"/>
        <w:rPr>
          <w:rFonts w:ascii="Arial" w:hAnsi="Arial" w:cs="Arial"/>
          <w:b/>
          <w:sz w:val="24"/>
          <w:szCs w:val="24"/>
        </w:rPr>
      </w:pPr>
      <w:r>
        <w:rPr>
          <w:rFonts w:ascii="Arial" w:hAnsi="Arial" w:cs="Arial"/>
          <w:b/>
          <w:sz w:val="32"/>
          <w:szCs w:val="32"/>
        </w:rPr>
        <w:lastRenderedPageBreak/>
        <w:t xml:space="preserve">PART B: </w:t>
      </w:r>
      <w:r>
        <w:rPr>
          <w:rFonts w:ascii="Arial" w:hAnsi="Arial" w:cs="Arial"/>
          <w:b/>
          <w:bCs/>
          <w:sz w:val="24"/>
          <w:szCs w:val="24"/>
        </w:rPr>
        <w:t>Insert new Appendix 19 into Volume 2: Appendices of the Dublin City Development Plan 2022 – 2028 containing t</w:t>
      </w:r>
      <w:r w:rsidRPr="00207C26">
        <w:rPr>
          <w:rFonts w:ascii="Arial" w:hAnsi="Arial" w:cs="Arial"/>
          <w:b/>
          <w:sz w:val="24"/>
          <w:szCs w:val="24"/>
        </w:rPr>
        <w:t>ransitional arrangements for Build-To-Rent accommodation</w:t>
      </w:r>
      <w:r>
        <w:rPr>
          <w:rFonts w:ascii="Arial" w:hAnsi="Arial" w:cs="Arial"/>
          <w:b/>
          <w:sz w:val="24"/>
          <w:szCs w:val="24"/>
        </w:rPr>
        <w:t xml:space="preserve"> proposals</w:t>
      </w:r>
      <w:r w:rsidRPr="00207C26">
        <w:rPr>
          <w:rFonts w:ascii="Arial" w:hAnsi="Arial" w:cs="Arial"/>
          <w:b/>
          <w:sz w:val="24"/>
          <w:szCs w:val="24"/>
        </w:rPr>
        <w:t xml:space="preserve"> that are subject to consideration within the planning system on or before 21st December 2022</w:t>
      </w:r>
      <w:r>
        <w:rPr>
          <w:rFonts w:ascii="Arial" w:hAnsi="Arial" w:cs="Arial"/>
          <w:b/>
          <w:sz w:val="24"/>
          <w:szCs w:val="24"/>
        </w:rPr>
        <w:t>.</w:t>
      </w:r>
    </w:p>
    <w:p w14:paraId="7FA302F2" w14:textId="77777777" w:rsidR="005D4329" w:rsidRDefault="005D4329" w:rsidP="005D4329">
      <w:pPr>
        <w:jc w:val="both"/>
        <w:rPr>
          <w:rFonts w:ascii="Arial" w:hAnsi="Arial" w:cs="Arial"/>
          <w:b/>
          <w:sz w:val="24"/>
          <w:szCs w:val="24"/>
        </w:rPr>
      </w:pPr>
    </w:p>
    <w:p w14:paraId="2BB507A2" w14:textId="77777777" w:rsidR="005D4329" w:rsidRDefault="005D4329" w:rsidP="005D4329">
      <w:pPr>
        <w:jc w:val="both"/>
        <w:rPr>
          <w:rFonts w:ascii="Arial" w:hAnsi="Arial" w:cs="Arial"/>
          <w:b/>
          <w:sz w:val="28"/>
          <w:szCs w:val="28"/>
        </w:rPr>
      </w:pPr>
      <w:r>
        <w:rPr>
          <w:rFonts w:ascii="Arial" w:hAnsi="Arial" w:cs="Arial"/>
          <w:b/>
          <w:sz w:val="28"/>
          <w:szCs w:val="28"/>
        </w:rPr>
        <w:t>Volume 2 Appendices</w:t>
      </w:r>
    </w:p>
    <w:p w14:paraId="5AF2A64B"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Table of Contents</w:t>
      </w:r>
    </w:p>
    <w:p w14:paraId="29E28049"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After Appendix 18: Ancillary Residential Accommodation</w:t>
      </w:r>
    </w:p>
    <w:p w14:paraId="71603FB7"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 xml:space="preserve">Page </w:t>
      </w:r>
      <w:proofErr w:type="gramStart"/>
      <w:r>
        <w:rPr>
          <w:rFonts w:ascii="Arial" w:hAnsi="Arial" w:cs="Arial"/>
          <w:b/>
          <w:sz w:val="24"/>
          <w:szCs w:val="24"/>
        </w:rPr>
        <w:t>iv</w:t>
      </w:r>
      <w:proofErr w:type="gramEnd"/>
    </w:p>
    <w:p w14:paraId="14794F76" w14:textId="77777777" w:rsidR="005D4329" w:rsidRDefault="005D4329" w:rsidP="005D4329">
      <w:pPr>
        <w:jc w:val="both"/>
        <w:rPr>
          <w:rFonts w:ascii="Arial" w:hAnsi="Arial" w:cs="Arial"/>
          <w:b/>
          <w:sz w:val="28"/>
          <w:szCs w:val="28"/>
        </w:rPr>
      </w:pPr>
    </w:p>
    <w:p w14:paraId="0CEA1EA3" w14:textId="77777777" w:rsidR="005D4329" w:rsidRPr="00B26556" w:rsidRDefault="005D4329" w:rsidP="005D4329">
      <w:pPr>
        <w:jc w:val="both"/>
        <w:rPr>
          <w:rFonts w:ascii="Arial" w:hAnsi="Arial" w:cs="Arial"/>
          <w:bCs/>
          <w:sz w:val="24"/>
          <w:szCs w:val="24"/>
        </w:rPr>
      </w:pPr>
      <w:r w:rsidRPr="00474258">
        <w:rPr>
          <w:rFonts w:ascii="Arial" w:hAnsi="Arial" w:cs="Arial"/>
          <w:bCs/>
          <w:sz w:val="24"/>
          <w:szCs w:val="24"/>
          <w:highlight w:val="yellow"/>
        </w:rPr>
        <w:t>Pro</w:t>
      </w:r>
      <w:r>
        <w:rPr>
          <w:rFonts w:ascii="Arial" w:hAnsi="Arial" w:cs="Arial"/>
          <w:bCs/>
          <w:sz w:val="24"/>
          <w:szCs w:val="24"/>
          <w:highlight w:val="yellow"/>
        </w:rPr>
        <w:t>posed Amendment Reference No. 18</w:t>
      </w:r>
    </w:p>
    <w:p w14:paraId="0CA6129C"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 xml:space="preserve">Insert ‘Appendix 19: </w:t>
      </w:r>
      <w:r>
        <w:rPr>
          <w:rFonts w:ascii="Arial" w:hAnsi="Arial" w:cs="Arial"/>
          <w:b/>
          <w:bCs/>
          <w:sz w:val="24"/>
          <w:szCs w:val="24"/>
        </w:rPr>
        <w:t>Tr</w:t>
      </w:r>
      <w:r>
        <w:rPr>
          <w:rFonts w:ascii="Arial" w:hAnsi="Arial" w:cs="Arial"/>
          <w:b/>
          <w:sz w:val="24"/>
          <w:szCs w:val="24"/>
        </w:rPr>
        <w:t>ansitional Arrangements for Build-To-Rent A</w:t>
      </w:r>
      <w:r w:rsidRPr="00207C26">
        <w:rPr>
          <w:rFonts w:ascii="Arial" w:hAnsi="Arial" w:cs="Arial"/>
          <w:b/>
          <w:sz w:val="24"/>
          <w:szCs w:val="24"/>
        </w:rPr>
        <w:t>ccommodation</w:t>
      </w:r>
      <w:r>
        <w:rPr>
          <w:rFonts w:ascii="Arial" w:hAnsi="Arial" w:cs="Arial"/>
          <w:b/>
          <w:sz w:val="24"/>
          <w:szCs w:val="24"/>
        </w:rPr>
        <w:t xml:space="preserve"> proposals………….428</w:t>
      </w:r>
    </w:p>
    <w:p w14:paraId="5A249169" w14:textId="77777777" w:rsidR="005D4329" w:rsidRDefault="005D4329" w:rsidP="005D4329">
      <w:pPr>
        <w:jc w:val="both"/>
        <w:rPr>
          <w:rFonts w:ascii="Arial" w:hAnsi="Arial" w:cs="Arial"/>
          <w:b/>
          <w:sz w:val="28"/>
          <w:szCs w:val="28"/>
        </w:rPr>
      </w:pPr>
    </w:p>
    <w:p w14:paraId="47EB3F76" w14:textId="77777777" w:rsidR="005D4329" w:rsidRDefault="005D4329" w:rsidP="005D4329">
      <w:pPr>
        <w:jc w:val="both"/>
        <w:rPr>
          <w:rFonts w:ascii="Arial" w:hAnsi="Arial" w:cs="Arial"/>
          <w:b/>
          <w:sz w:val="28"/>
          <w:szCs w:val="28"/>
        </w:rPr>
      </w:pPr>
      <w:r>
        <w:rPr>
          <w:rFonts w:ascii="Arial" w:hAnsi="Arial" w:cs="Arial"/>
          <w:b/>
          <w:sz w:val="28"/>
          <w:szCs w:val="28"/>
        </w:rPr>
        <w:t>Volume 2 Appendices</w:t>
      </w:r>
    </w:p>
    <w:p w14:paraId="26EE754D"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New Appendix to the 2022 – 2028 Dublin City Development Plan (Appendix 19)</w:t>
      </w:r>
    </w:p>
    <w:p w14:paraId="2516BFE0" w14:textId="77777777" w:rsidR="005D4329" w:rsidRDefault="005D4329" w:rsidP="005D4329">
      <w:pPr>
        <w:spacing w:after="0" w:line="240" w:lineRule="auto"/>
        <w:jc w:val="both"/>
        <w:rPr>
          <w:rFonts w:ascii="Arial" w:hAnsi="Arial" w:cs="Arial"/>
          <w:b/>
          <w:sz w:val="24"/>
          <w:szCs w:val="24"/>
        </w:rPr>
      </w:pPr>
      <w:r>
        <w:rPr>
          <w:rFonts w:ascii="Arial" w:hAnsi="Arial" w:cs="Arial"/>
          <w:b/>
          <w:sz w:val="24"/>
          <w:szCs w:val="24"/>
        </w:rPr>
        <w:t>Insert After Appendix 18: Ancillary Residential Accommodation</w:t>
      </w:r>
    </w:p>
    <w:p w14:paraId="74CBB0FD" w14:textId="77777777" w:rsidR="005D4329" w:rsidRDefault="005D4329" w:rsidP="005D4329">
      <w:pPr>
        <w:spacing w:after="0" w:line="240" w:lineRule="auto"/>
        <w:rPr>
          <w:rFonts w:ascii="Arial" w:hAnsi="Arial" w:cs="Arial"/>
          <w:b/>
          <w:sz w:val="24"/>
          <w:szCs w:val="24"/>
        </w:rPr>
      </w:pPr>
      <w:r>
        <w:rPr>
          <w:rFonts w:ascii="Arial" w:hAnsi="Arial" w:cs="Arial"/>
          <w:b/>
          <w:sz w:val="24"/>
          <w:szCs w:val="24"/>
        </w:rPr>
        <w:t>Insert After Page 427</w:t>
      </w:r>
    </w:p>
    <w:p w14:paraId="4551D817" w14:textId="77777777" w:rsidR="005D4329" w:rsidRDefault="005D4329" w:rsidP="005D4329">
      <w:pPr>
        <w:jc w:val="both"/>
        <w:rPr>
          <w:rFonts w:ascii="Arial" w:hAnsi="Arial" w:cs="Arial"/>
          <w:b/>
          <w:sz w:val="28"/>
          <w:szCs w:val="28"/>
        </w:rPr>
      </w:pPr>
    </w:p>
    <w:p w14:paraId="6FDBBFB2" w14:textId="77777777" w:rsidR="005D4329" w:rsidRPr="00B26556" w:rsidRDefault="005D4329" w:rsidP="005D4329">
      <w:pPr>
        <w:jc w:val="both"/>
        <w:rPr>
          <w:rFonts w:ascii="Arial" w:hAnsi="Arial" w:cs="Arial"/>
          <w:bCs/>
          <w:sz w:val="24"/>
          <w:szCs w:val="24"/>
        </w:rPr>
      </w:pPr>
      <w:r w:rsidRPr="00474258">
        <w:rPr>
          <w:rFonts w:ascii="Arial" w:hAnsi="Arial" w:cs="Arial"/>
          <w:bCs/>
          <w:sz w:val="24"/>
          <w:szCs w:val="24"/>
          <w:highlight w:val="yellow"/>
        </w:rPr>
        <w:t>Pro</w:t>
      </w:r>
      <w:r>
        <w:rPr>
          <w:rFonts w:ascii="Arial" w:hAnsi="Arial" w:cs="Arial"/>
          <w:bCs/>
          <w:sz w:val="24"/>
          <w:szCs w:val="24"/>
          <w:highlight w:val="yellow"/>
        </w:rPr>
        <w:t>posed Amendment Reference No. 19</w:t>
      </w:r>
    </w:p>
    <w:p w14:paraId="5C560B98" w14:textId="77777777" w:rsidR="005D4329" w:rsidRDefault="005D4329" w:rsidP="005D4329">
      <w:pPr>
        <w:jc w:val="both"/>
        <w:rPr>
          <w:rFonts w:ascii="Arial" w:hAnsi="Arial" w:cs="Arial"/>
          <w:b/>
          <w:sz w:val="24"/>
          <w:szCs w:val="24"/>
        </w:rPr>
      </w:pPr>
      <w:r>
        <w:rPr>
          <w:rFonts w:ascii="Arial" w:hAnsi="Arial" w:cs="Arial"/>
          <w:b/>
          <w:sz w:val="24"/>
          <w:szCs w:val="24"/>
        </w:rPr>
        <w:t>Insert new Appendix 19 as set out below.</w:t>
      </w:r>
    </w:p>
    <w:p w14:paraId="6C07B0D7" w14:textId="77777777" w:rsidR="005D4329" w:rsidRDefault="005D4329" w:rsidP="005D4329">
      <w:pPr>
        <w:jc w:val="both"/>
        <w:rPr>
          <w:rFonts w:ascii="Arial" w:hAnsi="Arial" w:cs="Arial"/>
          <w:b/>
          <w:sz w:val="24"/>
          <w:szCs w:val="24"/>
        </w:rPr>
      </w:pPr>
    </w:p>
    <w:p w14:paraId="7E181426" w14:textId="77777777" w:rsidR="005D4329" w:rsidRPr="00AB675F" w:rsidRDefault="005D4329" w:rsidP="005D4329">
      <w:pPr>
        <w:jc w:val="both"/>
        <w:rPr>
          <w:rFonts w:ascii="Arial" w:hAnsi="Arial" w:cs="Arial"/>
          <w:b/>
          <w:color w:val="FF0000"/>
          <w:sz w:val="24"/>
          <w:szCs w:val="24"/>
        </w:rPr>
      </w:pPr>
      <w:r w:rsidRPr="00AB675F">
        <w:rPr>
          <w:rFonts w:ascii="Arial" w:hAnsi="Arial" w:cs="Arial"/>
          <w:b/>
          <w:color w:val="FF0000"/>
          <w:sz w:val="24"/>
          <w:szCs w:val="24"/>
        </w:rPr>
        <w:t>Appendix 19: Transit</w:t>
      </w:r>
      <w:r>
        <w:rPr>
          <w:rFonts w:ascii="Arial" w:hAnsi="Arial" w:cs="Arial"/>
          <w:b/>
          <w:color w:val="FF0000"/>
          <w:sz w:val="24"/>
          <w:szCs w:val="24"/>
        </w:rPr>
        <w:t xml:space="preserve">ional Arrangements for Certain </w:t>
      </w:r>
      <w:r w:rsidRPr="00AB675F">
        <w:rPr>
          <w:rFonts w:ascii="Arial" w:hAnsi="Arial" w:cs="Arial"/>
          <w:b/>
          <w:color w:val="FF0000"/>
          <w:sz w:val="24"/>
          <w:szCs w:val="24"/>
        </w:rPr>
        <w:t>Development Proposals for or including Build-To-Rent Accommodation</w:t>
      </w:r>
    </w:p>
    <w:p w14:paraId="7CC9F34E" w14:textId="77777777" w:rsidR="005D4329" w:rsidRPr="00AB675F" w:rsidRDefault="005D4329" w:rsidP="005D4329">
      <w:pPr>
        <w:jc w:val="both"/>
        <w:rPr>
          <w:rFonts w:ascii="Arial" w:hAnsi="Arial" w:cs="Arial"/>
          <w:b/>
          <w:color w:val="FF0000"/>
          <w:sz w:val="24"/>
          <w:szCs w:val="24"/>
        </w:rPr>
      </w:pPr>
      <w:r w:rsidRPr="00AB675F">
        <w:rPr>
          <w:rFonts w:ascii="Arial" w:hAnsi="Arial" w:cs="Arial"/>
          <w:b/>
          <w:color w:val="FF0000"/>
          <w:sz w:val="24"/>
          <w:szCs w:val="24"/>
        </w:rPr>
        <w:t>1.0</w:t>
      </w:r>
      <w:r w:rsidRPr="00AB675F">
        <w:rPr>
          <w:rFonts w:ascii="Arial" w:hAnsi="Arial" w:cs="Arial"/>
          <w:b/>
          <w:color w:val="FF0000"/>
          <w:sz w:val="24"/>
          <w:szCs w:val="24"/>
        </w:rPr>
        <w:tab/>
      </w:r>
      <w:r w:rsidRPr="00AB675F">
        <w:rPr>
          <w:rFonts w:ascii="Arial" w:hAnsi="Arial" w:cs="Arial"/>
          <w:b/>
          <w:bCs/>
          <w:color w:val="FF0000"/>
          <w:sz w:val="24"/>
          <w:szCs w:val="24"/>
        </w:rPr>
        <w:t>Sustainable Urban Housing: Design Standards for New Apartments – Guidelines for P</w:t>
      </w:r>
      <w:r>
        <w:rPr>
          <w:rFonts w:ascii="Arial" w:hAnsi="Arial" w:cs="Arial"/>
          <w:b/>
          <w:bCs/>
          <w:color w:val="FF0000"/>
          <w:sz w:val="24"/>
          <w:szCs w:val="24"/>
        </w:rPr>
        <w:t>lanning Authorities, DHLGH, 2023</w:t>
      </w:r>
    </w:p>
    <w:p w14:paraId="6A880120" w14:textId="77777777" w:rsidR="005D4329" w:rsidRPr="008101F8" w:rsidRDefault="005D4329" w:rsidP="005D4329">
      <w:pPr>
        <w:jc w:val="both"/>
        <w:rPr>
          <w:rFonts w:ascii="Arial" w:hAnsi="Arial" w:cs="Arial"/>
          <w:bCs/>
          <w:color w:val="FF0000"/>
          <w:sz w:val="24"/>
          <w:szCs w:val="24"/>
        </w:rPr>
      </w:pPr>
      <w:r>
        <w:rPr>
          <w:rFonts w:ascii="Arial" w:hAnsi="Arial" w:cs="Arial"/>
          <w:bCs/>
          <w:color w:val="FF0000"/>
          <w:sz w:val="24"/>
          <w:szCs w:val="24"/>
        </w:rPr>
        <w:t>Build</w:t>
      </w:r>
      <w:r w:rsidRPr="008101F8">
        <w:rPr>
          <w:rFonts w:ascii="Arial" w:hAnsi="Arial" w:cs="Arial"/>
          <w:bCs/>
          <w:color w:val="FF0000"/>
          <w:sz w:val="24"/>
          <w:szCs w:val="24"/>
        </w:rPr>
        <w:t xml:space="preserve">-To-Rent (BTR) development was established as a separate class of development for planning purposes, arising from </w:t>
      </w:r>
      <w:r w:rsidRPr="008101F8">
        <w:rPr>
          <w:rFonts w:ascii="Arial" w:hAnsi="Arial" w:cs="Arial"/>
          <w:bCs/>
          <w:i/>
          <w:color w:val="FF0000"/>
          <w:sz w:val="24"/>
          <w:szCs w:val="24"/>
        </w:rPr>
        <w:t>Sustainable Urban Housing: Design Standards for New Apartments Guidelines for Planning Authorities</w:t>
      </w:r>
      <w:r w:rsidRPr="008101F8">
        <w:rPr>
          <w:rFonts w:ascii="Arial" w:hAnsi="Arial" w:cs="Arial"/>
          <w:bCs/>
          <w:color w:val="FF0000"/>
          <w:sz w:val="24"/>
          <w:szCs w:val="24"/>
        </w:rPr>
        <w:t xml:space="preserve">, as published in 2018 and updated in 2020.  </w:t>
      </w:r>
    </w:p>
    <w:p w14:paraId="7EA02A53" w14:textId="77777777" w:rsidR="005D4329" w:rsidRPr="00884723" w:rsidRDefault="005D4329" w:rsidP="005D4329">
      <w:pPr>
        <w:jc w:val="both"/>
        <w:rPr>
          <w:rFonts w:ascii="Arial" w:hAnsi="Arial" w:cs="Arial"/>
          <w:bCs/>
          <w:color w:val="FF0000"/>
          <w:sz w:val="24"/>
          <w:szCs w:val="24"/>
        </w:rPr>
      </w:pPr>
      <w:r w:rsidRPr="00800CBD">
        <w:rPr>
          <w:rFonts w:ascii="Arial" w:hAnsi="Arial" w:cs="Arial"/>
          <w:bCs/>
          <w:color w:val="FF0000"/>
          <w:sz w:val="24"/>
          <w:szCs w:val="24"/>
        </w:rPr>
        <w:t>For the purposes of the planning system the Sustainable Urban Housing: Design Standards for New Apartments – Guidelines for P</w:t>
      </w:r>
      <w:r>
        <w:rPr>
          <w:rFonts w:ascii="Arial" w:hAnsi="Arial" w:cs="Arial"/>
          <w:bCs/>
          <w:color w:val="FF0000"/>
          <w:sz w:val="24"/>
          <w:szCs w:val="24"/>
        </w:rPr>
        <w:t>lanning Authorities, DHLGH, 2023</w:t>
      </w:r>
      <w:r w:rsidRPr="00800CBD">
        <w:rPr>
          <w:rFonts w:ascii="Arial" w:hAnsi="Arial" w:cs="Arial"/>
          <w:bCs/>
          <w:color w:val="FF0000"/>
          <w:sz w:val="24"/>
          <w:szCs w:val="24"/>
        </w:rPr>
        <w:t xml:space="preserve"> no longer identify Build to Rent (BTR) accommodation as a specific housing typology which require specific guidance / design standards.</w:t>
      </w:r>
      <w:r>
        <w:rPr>
          <w:rFonts w:ascii="Arial" w:hAnsi="Arial" w:cs="Arial"/>
          <w:bCs/>
          <w:color w:val="FF0000"/>
          <w:sz w:val="24"/>
          <w:szCs w:val="24"/>
        </w:rPr>
        <w:t xml:space="preserve">  </w:t>
      </w:r>
      <w:r w:rsidRPr="00884723">
        <w:rPr>
          <w:rFonts w:ascii="Arial" w:hAnsi="Arial" w:cs="Arial"/>
          <w:bCs/>
          <w:color w:val="FF0000"/>
          <w:sz w:val="24"/>
          <w:szCs w:val="24"/>
        </w:rPr>
        <w:t xml:space="preserve">A technical update </w:t>
      </w:r>
      <w:r>
        <w:rPr>
          <w:rFonts w:ascii="Arial" w:hAnsi="Arial" w:cs="Arial"/>
          <w:bCs/>
          <w:color w:val="FF0000"/>
          <w:sz w:val="24"/>
          <w:szCs w:val="24"/>
        </w:rPr>
        <w:t xml:space="preserve">in relation to ‘Build-To-Rent’ (BTR) accommodation has been made to the development plan.  </w:t>
      </w:r>
    </w:p>
    <w:p w14:paraId="61849C19" w14:textId="32BCAE76" w:rsidR="005D4329" w:rsidRDefault="005D4329" w:rsidP="005D4329">
      <w:pPr>
        <w:jc w:val="both"/>
        <w:rPr>
          <w:rFonts w:ascii="Arial" w:hAnsi="Arial" w:cs="Arial"/>
          <w:bCs/>
          <w:color w:val="FF0000"/>
          <w:sz w:val="24"/>
          <w:szCs w:val="24"/>
        </w:rPr>
      </w:pPr>
    </w:p>
    <w:p w14:paraId="0B7DBEDC" w14:textId="77777777" w:rsidR="00937E97" w:rsidRPr="00800CBD" w:rsidRDefault="00937E97" w:rsidP="005D4329">
      <w:pPr>
        <w:jc w:val="both"/>
        <w:rPr>
          <w:rFonts w:ascii="Arial" w:hAnsi="Arial" w:cs="Arial"/>
          <w:bCs/>
          <w:color w:val="FF0000"/>
          <w:sz w:val="24"/>
          <w:szCs w:val="24"/>
        </w:rPr>
      </w:pPr>
    </w:p>
    <w:p w14:paraId="3765654A" w14:textId="77777777" w:rsidR="005D4329" w:rsidRPr="00AB675F" w:rsidRDefault="005D4329" w:rsidP="005D4329">
      <w:pPr>
        <w:rPr>
          <w:rFonts w:ascii="Arial" w:hAnsi="Arial" w:cs="Arial"/>
          <w:b/>
          <w:color w:val="C00000"/>
          <w:sz w:val="24"/>
          <w:szCs w:val="24"/>
        </w:rPr>
      </w:pPr>
      <w:r w:rsidRPr="00AB675F">
        <w:rPr>
          <w:rFonts w:ascii="Arial" w:hAnsi="Arial" w:cs="Arial"/>
          <w:b/>
          <w:color w:val="FF0000"/>
          <w:sz w:val="24"/>
          <w:szCs w:val="24"/>
        </w:rPr>
        <w:lastRenderedPageBreak/>
        <w:t>2.0</w:t>
      </w:r>
      <w:r w:rsidRPr="00AB675F">
        <w:rPr>
          <w:rFonts w:ascii="Arial" w:hAnsi="Arial" w:cs="Arial"/>
          <w:b/>
          <w:color w:val="FF0000"/>
          <w:sz w:val="24"/>
          <w:szCs w:val="24"/>
        </w:rPr>
        <w:tab/>
        <w:t>Transitional Arrangements</w:t>
      </w:r>
    </w:p>
    <w:p w14:paraId="47EBAB8A" w14:textId="77777777" w:rsidR="005D4329" w:rsidRDefault="005D4329" w:rsidP="005D4329">
      <w:pPr>
        <w:rPr>
          <w:rFonts w:ascii="Arial" w:hAnsi="Arial" w:cs="Arial"/>
          <w:bCs/>
          <w:color w:val="FF0000"/>
          <w:sz w:val="24"/>
          <w:szCs w:val="24"/>
        </w:rPr>
      </w:pPr>
      <w:r>
        <w:rPr>
          <w:rFonts w:ascii="Arial" w:hAnsi="Arial" w:cs="Arial"/>
          <w:bCs/>
          <w:color w:val="FF0000"/>
          <w:sz w:val="24"/>
          <w:szCs w:val="24"/>
        </w:rPr>
        <w:t>In amending the apartment guidelines transitional arrangements were put in place to allow BTR proposals at formal application / appeal stage or at formal pre-application stage on or before 21</w:t>
      </w:r>
      <w:r w:rsidRPr="00D87E14">
        <w:rPr>
          <w:rFonts w:ascii="Arial" w:hAnsi="Arial" w:cs="Arial"/>
          <w:bCs/>
          <w:color w:val="FF0000"/>
          <w:sz w:val="24"/>
          <w:szCs w:val="24"/>
          <w:vertAlign w:val="superscript"/>
        </w:rPr>
        <w:t>st</w:t>
      </w:r>
      <w:r>
        <w:rPr>
          <w:rFonts w:ascii="Arial" w:hAnsi="Arial" w:cs="Arial"/>
          <w:bCs/>
          <w:color w:val="FF0000"/>
          <w:sz w:val="24"/>
          <w:szCs w:val="24"/>
        </w:rPr>
        <w:t xml:space="preserve"> December 2022 to be considered with reliance to the 2020 guidelines (see paragraphs 5.10 and 5.11 of the 2023 guidelines).    </w:t>
      </w:r>
    </w:p>
    <w:p w14:paraId="372096F0" w14:textId="77777777" w:rsidR="005D4329" w:rsidRDefault="005D4329" w:rsidP="005D4329">
      <w:pPr>
        <w:rPr>
          <w:rFonts w:ascii="Arial" w:hAnsi="Arial" w:cs="Arial"/>
          <w:color w:val="92D050"/>
          <w:sz w:val="24"/>
          <w:szCs w:val="24"/>
        </w:rPr>
      </w:pPr>
      <w:r>
        <w:rPr>
          <w:rFonts w:ascii="Arial" w:hAnsi="Arial" w:cs="Arial"/>
          <w:bCs/>
          <w:color w:val="FF0000"/>
          <w:sz w:val="24"/>
          <w:szCs w:val="24"/>
        </w:rPr>
        <w:t xml:space="preserve">To comply with the 2023 guidelines, under these transitional arrangements relevant </w:t>
      </w:r>
      <w:r w:rsidRPr="006C6F0B">
        <w:rPr>
          <w:rFonts w:ascii="Arial" w:hAnsi="Arial" w:cs="Arial"/>
          <w:bCs/>
          <w:color w:val="FF0000"/>
          <w:sz w:val="24"/>
          <w:szCs w:val="24"/>
        </w:rPr>
        <w:t xml:space="preserve">BTR proposals </w:t>
      </w:r>
      <w:r>
        <w:rPr>
          <w:rFonts w:ascii="Arial" w:hAnsi="Arial" w:cs="Arial"/>
          <w:color w:val="FF0000"/>
          <w:sz w:val="24"/>
          <w:szCs w:val="24"/>
        </w:rPr>
        <w:t xml:space="preserve">will </w:t>
      </w:r>
      <w:r w:rsidRPr="006C6F0B">
        <w:rPr>
          <w:rFonts w:ascii="Arial" w:hAnsi="Arial" w:cs="Arial"/>
          <w:color w:val="FF0000"/>
          <w:sz w:val="24"/>
          <w:szCs w:val="24"/>
        </w:rPr>
        <w:t xml:space="preserve">be considered and decided in accordance with </w:t>
      </w:r>
      <w:r>
        <w:rPr>
          <w:rFonts w:ascii="Arial" w:hAnsi="Arial" w:cs="Arial"/>
          <w:color w:val="FF0000"/>
          <w:sz w:val="24"/>
          <w:szCs w:val="24"/>
        </w:rPr>
        <w:t xml:space="preserve">(1) </w:t>
      </w:r>
      <w:r w:rsidRPr="006C6F0B">
        <w:rPr>
          <w:rFonts w:ascii="Arial" w:hAnsi="Arial" w:cs="Arial"/>
          <w:color w:val="FF0000"/>
          <w:sz w:val="24"/>
          <w:szCs w:val="24"/>
        </w:rPr>
        <w:t>the 2020 Guid</w:t>
      </w:r>
      <w:r>
        <w:rPr>
          <w:rFonts w:ascii="Arial" w:hAnsi="Arial" w:cs="Arial"/>
          <w:color w:val="FF0000"/>
          <w:sz w:val="24"/>
          <w:szCs w:val="24"/>
        </w:rPr>
        <w:t>elines and, (2)  the interim development plan BTR policies, objectives and standards as set out below.</w:t>
      </w:r>
    </w:p>
    <w:p w14:paraId="784B4BCD" w14:textId="77777777" w:rsidR="005D4329" w:rsidRPr="00EA0457" w:rsidRDefault="005D4329" w:rsidP="005D4329">
      <w:pPr>
        <w:rPr>
          <w:rFonts w:ascii="Arial" w:hAnsi="Arial" w:cs="Arial"/>
          <w:color w:val="FF0000"/>
          <w:sz w:val="24"/>
          <w:szCs w:val="24"/>
        </w:rPr>
      </w:pPr>
      <w:r w:rsidRPr="00EA0457">
        <w:rPr>
          <w:rFonts w:ascii="Arial" w:hAnsi="Arial" w:cs="Arial"/>
          <w:color w:val="FF0000"/>
          <w:sz w:val="24"/>
          <w:szCs w:val="24"/>
        </w:rPr>
        <w:t xml:space="preserve">A reference to proposed Build-To-Rent accommodation below </w:t>
      </w:r>
      <w:r>
        <w:rPr>
          <w:rFonts w:ascii="Arial" w:hAnsi="Arial" w:cs="Arial"/>
          <w:color w:val="FF0000"/>
          <w:sz w:val="24"/>
          <w:szCs w:val="24"/>
        </w:rPr>
        <w:t>in sub sections 3.1 – 3.3</w:t>
      </w:r>
      <w:r w:rsidRPr="00EA0457">
        <w:rPr>
          <w:rFonts w:ascii="Arial" w:hAnsi="Arial" w:cs="Arial"/>
          <w:color w:val="FF0000"/>
          <w:sz w:val="24"/>
          <w:szCs w:val="24"/>
        </w:rPr>
        <w:t xml:space="preserve"> is a reference to </w:t>
      </w:r>
      <w:r w:rsidRPr="00EA0457">
        <w:rPr>
          <w:rFonts w:ascii="Arial" w:hAnsi="Arial" w:cs="Arial"/>
          <w:bCs/>
          <w:color w:val="FF0000"/>
          <w:sz w:val="24"/>
          <w:szCs w:val="24"/>
        </w:rPr>
        <w:t xml:space="preserve">BTR proposals </w:t>
      </w:r>
      <w:r>
        <w:rPr>
          <w:rFonts w:ascii="Arial" w:hAnsi="Arial" w:cs="Arial"/>
          <w:bCs/>
          <w:color w:val="FF0000"/>
          <w:sz w:val="24"/>
          <w:szCs w:val="24"/>
        </w:rPr>
        <w:t xml:space="preserve">as per paragraphs 5.10 and 5.11 of the 2023 guidelines.  </w:t>
      </w:r>
      <w:r>
        <w:rPr>
          <w:rFonts w:ascii="Arial" w:hAnsi="Arial" w:cs="Arial"/>
          <w:color w:val="FF0000"/>
          <w:sz w:val="24"/>
          <w:szCs w:val="24"/>
        </w:rPr>
        <w:t>New</w:t>
      </w:r>
      <w:r w:rsidRPr="00EA0457">
        <w:rPr>
          <w:rFonts w:ascii="Arial" w:hAnsi="Arial" w:cs="Arial"/>
          <w:color w:val="FF0000"/>
          <w:sz w:val="24"/>
          <w:szCs w:val="24"/>
        </w:rPr>
        <w:t xml:space="preserve"> BTR accommodatio</w:t>
      </w:r>
      <w:r>
        <w:rPr>
          <w:rFonts w:ascii="Arial" w:hAnsi="Arial" w:cs="Arial"/>
          <w:color w:val="FF0000"/>
          <w:sz w:val="24"/>
          <w:szCs w:val="24"/>
        </w:rPr>
        <w:t>n development proposals made after this date</w:t>
      </w:r>
      <w:r w:rsidRPr="00EA0457">
        <w:rPr>
          <w:rFonts w:ascii="Arial" w:hAnsi="Arial" w:cs="Arial"/>
          <w:color w:val="FF0000"/>
          <w:sz w:val="24"/>
          <w:szCs w:val="24"/>
        </w:rPr>
        <w:t xml:space="preserve"> will not be assessed under </w:t>
      </w:r>
      <w:r>
        <w:rPr>
          <w:rFonts w:ascii="Arial" w:hAnsi="Arial" w:cs="Arial"/>
          <w:color w:val="FF0000"/>
          <w:sz w:val="24"/>
          <w:szCs w:val="24"/>
        </w:rPr>
        <w:t xml:space="preserve">the 2020 Guidelines or </w:t>
      </w:r>
      <w:r w:rsidRPr="00EA0457">
        <w:rPr>
          <w:rFonts w:ascii="Arial" w:hAnsi="Arial" w:cs="Arial"/>
          <w:color w:val="FF0000"/>
          <w:sz w:val="24"/>
          <w:szCs w:val="24"/>
        </w:rPr>
        <w:t xml:space="preserve">these interim development plan policies, objectives and standards.   </w:t>
      </w:r>
    </w:p>
    <w:p w14:paraId="7BA7F6C6" w14:textId="77777777" w:rsidR="005D4329" w:rsidRPr="00A4138D" w:rsidRDefault="005D4329" w:rsidP="005D4329">
      <w:pPr>
        <w:rPr>
          <w:rFonts w:ascii="Arial" w:hAnsi="Arial" w:cs="Arial"/>
          <w:color w:val="FF0000"/>
          <w:sz w:val="24"/>
          <w:szCs w:val="24"/>
        </w:rPr>
      </w:pPr>
    </w:p>
    <w:p w14:paraId="75B2FB25" w14:textId="77777777" w:rsidR="005D4329" w:rsidRPr="003A3BEC" w:rsidRDefault="005D4329" w:rsidP="005D4329">
      <w:pPr>
        <w:rPr>
          <w:rFonts w:ascii="Arial" w:hAnsi="Arial" w:cs="Arial"/>
          <w:b/>
          <w:color w:val="FF0000"/>
          <w:sz w:val="24"/>
          <w:szCs w:val="24"/>
        </w:rPr>
      </w:pPr>
      <w:r w:rsidRPr="003A3BEC">
        <w:rPr>
          <w:rFonts w:ascii="Arial" w:hAnsi="Arial" w:cs="Arial"/>
          <w:b/>
          <w:color w:val="FF0000"/>
          <w:sz w:val="24"/>
          <w:szCs w:val="24"/>
        </w:rPr>
        <w:t>3.0</w:t>
      </w:r>
      <w:r w:rsidRPr="003A3BEC">
        <w:rPr>
          <w:rFonts w:ascii="Arial" w:hAnsi="Arial" w:cs="Arial"/>
          <w:b/>
          <w:color w:val="FF0000"/>
          <w:sz w:val="24"/>
          <w:szCs w:val="24"/>
        </w:rPr>
        <w:tab/>
        <w:t>Build-To-Rent Accommodation</w:t>
      </w:r>
    </w:p>
    <w:p w14:paraId="6E59A5F6" w14:textId="77777777" w:rsidR="005D4329" w:rsidRPr="00DB42DE" w:rsidRDefault="005D4329" w:rsidP="005D4329">
      <w:pPr>
        <w:pStyle w:val="Default"/>
        <w:rPr>
          <w:rFonts w:ascii="Arial" w:hAnsi="Arial" w:cs="Arial"/>
          <w:b/>
          <w:color w:val="FF0000"/>
        </w:rPr>
      </w:pPr>
      <w:r w:rsidRPr="002C1CDE">
        <w:rPr>
          <w:rFonts w:ascii="Arial" w:hAnsi="Arial" w:cs="Arial"/>
          <w:b/>
          <w:color w:val="FF0000"/>
        </w:rPr>
        <w:t>3.1</w:t>
      </w:r>
      <w:r>
        <w:rPr>
          <w:rFonts w:ascii="Arial" w:hAnsi="Arial" w:cs="Arial"/>
          <w:b/>
        </w:rPr>
        <w:tab/>
      </w:r>
      <w:r w:rsidRPr="00DB42DE">
        <w:rPr>
          <w:rFonts w:ascii="Arial" w:hAnsi="Arial" w:cs="Arial"/>
          <w:b/>
          <w:color w:val="FF0000"/>
        </w:rPr>
        <w:t xml:space="preserve">Specific Housing Typologies - Build to Rent (BTR) Accommodation </w:t>
      </w:r>
    </w:p>
    <w:p w14:paraId="0040C163" w14:textId="77777777" w:rsidR="005D4329" w:rsidRPr="00DB42DE" w:rsidRDefault="005D4329" w:rsidP="005D4329">
      <w:pPr>
        <w:rPr>
          <w:rFonts w:ascii="Arial" w:hAnsi="Arial" w:cs="Arial"/>
          <w:color w:val="FF0000"/>
          <w:sz w:val="24"/>
          <w:szCs w:val="24"/>
        </w:rPr>
      </w:pPr>
    </w:p>
    <w:p w14:paraId="4F479F8C"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 xml:space="preserve">BTR accommodation shall only be concentrated in significant employment locations, within 500m of major public transport interchanges and within identified Strategic Development Regeneration Areas. </w:t>
      </w:r>
    </w:p>
    <w:p w14:paraId="09C09AA0"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Furthermore, applications for BTR schemes are required to demonstrate how the development supports housing need, particularly with regard to tenure, unit size and accessibility with particular reference to the Dublin City Council Housing Need and Demand Assessment and that there is not an over-concentration of Build to Rent Accommodation within an area, including a map showing all such facilities within a 1km radius of</w:t>
      </w:r>
      <w:r w:rsidRPr="00DB42DE">
        <w:rPr>
          <w:rFonts w:ascii="Arial" w:eastAsia="Arial" w:hAnsi="Arial" w:cs="Arial"/>
          <w:color w:val="FF0000"/>
          <w:sz w:val="24"/>
          <w:szCs w:val="24"/>
        </w:rPr>
        <w:t xml:space="preserve"> a proposal. </w:t>
      </w:r>
      <w:r w:rsidRPr="00DB42DE">
        <w:rPr>
          <w:rFonts w:ascii="Arial" w:hAnsi="Arial" w:cs="Arial"/>
          <w:color w:val="FF0000"/>
          <w:sz w:val="24"/>
          <w:szCs w:val="24"/>
        </w:rPr>
        <w:t>Such housing will be controlled in the interest of providing a mix of tenure and unit types. In assessing the matter of overconcentration, the Planning authority will have regard to factors such as:</w:t>
      </w:r>
    </w:p>
    <w:p w14:paraId="3CF8A90B" w14:textId="77777777" w:rsidR="005D4329" w:rsidRPr="00DB42DE" w:rsidRDefault="005D4329" w:rsidP="005D4329">
      <w:pPr>
        <w:pStyle w:val="Default"/>
        <w:numPr>
          <w:ilvl w:val="0"/>
          <w:numId w:val="15"/>
        </w:numPr>
        <w:spacing w:after="200" w:line="276" w:lineRule="auto"/>
        <w:ind w:left="851" w:hanging="425"/>
        <w:rPr>
          <w:rFonts w:ascii="Arial" w:hAnsi="Arial" w:cs="Arial"/>
          <w:color w:val="FF0000"/>
        </w:rPr>
      </w:pPr>
      <w:r w:rsidRPr="00DB42DE">
        <w:rPr>
          <w:rFonts w:ascii="Arial" w:hAnsi="Arial" w:cs="Arial"/>
          <w:color w:val="FF0000"/>
        </w:rPr>
        <w:t xml:space="preserve">the number and scale of other permitted and proposed BTR development in the vicinity (within a 1km radius) of the site, </w:t>
      </w:r>
    </w:p>
    <w:p w14:paraId="2A79D853" w14:textId="77777777" w:rsidR="005D4329" w:rsidRPr="00DB42DE" w:rsidRDefault="005D4329" w:rsidP="005D4329">
      <w:pPr>
        <w:pStyle w:val="Default"/>
        <w:numPr>
          <w:ilvl w:val="0"/>
          <w:numId w:val="15"/>
        </w:numPr>
        <w:spacing w:after="200" w:line="276" w:lineRule="auto"/>
        <w:ind w:left="851" w:hanging="425"/>
        <w:rPr>
          <w:rFonts w:ascii="Arial" w:hAnsi="Arial" w:cs="Arial"/>
          <w:color w:val="FF0000"/>
        </w:rPr>
      </w:pPr>
      <w:r w:rsidRPr="00DB42DE">
        <w:rPr>
          <w:rFonts w:ascii="Arial" w:hAnsi="Arial" w:cs="Arial"/>
          <w:color w:val="FF0000"/>
        </w:rPr>
        <w:t xml:space="preserve">the household tenure and housing type of existing housing stock in the approximate vicinity (within a 1km radius) of the site, </w:t>
      </w:r>
    </w:p>
    <w:p w14:paraId="1F6CAD04" w14:textId="77777777" w:rsidR="005D4329" w:rsidRPr="00DB42DE" w:rsidRDefault="005D4329" w:rsidP="005D4329">
      <w:pPr>
        <w:pStyle w:val="Default"/>
        <w:numPr>
          <w:ilvl w:val="0"/>
          <w:numId w:val="15"/>
        </w:numPr>
        <w:spacing w:after="200" w:line="276" w:lineRule="auto"/>
        <w:ind w:left="851" w:hanging="425"/>
        <w:rPr>
          <w:rFonts w:ascii="Arial" w:hAnsi="Arial" w:cs="Arial"/>
          <w:color w:val="FF0000"/>
        </w:rPr>
      </w:pPr>
      <w:proofErr w:type="gramStart"/>
      <w:r w:rsidRPr="00DB42DE">
        <w:rPr>
          <w:rFonts w:ascii="Arial" w:hAnsi="Arial" w:cs="Arial"/>
          <w:color w:val="FF0000"/>
        </w:rPr>
        <w:t>and</w:t>
      </w:r>
      <w:proofErr w:type="gramEnd"/>
      <w:r w:rsidRPr="00DB42DE">
        <w:rPr>
          <w:rFonts w:ascii="Arial" w:hAnsi="Arial" w:cs="Arial"/>
          <w:color w:val="FF0000"/>
        </w:rPr>
        <w:t xml:space="preserve"> the proximity of the proposal to high capacity urban public transport stops and interchange (such as DART, Luas and </w:t>
      </w:r>
      <w:proofErr w:type="spellStart"/>
      <w:r w:rsidRPr="00DB42DE">
        <w:rPr>
          <w:rFonts w:ascii="Arial" w:hAnsi="Arial" w:cs="Arial"/>
          <w:color w:val="FF0000"/>
        </w:rPr>
        <w:t>BusConnects</w:t>
      </w:r>
      <w:proofErr w:type="spellEnd"/>
      <w:r w:rsidRPr="00DB42DE">
        <w:rPr>
          <w:rFonts w:ascii="Arial" w:hAnsi="Arial" w:cs="Arial"/>
          <w:color w:val="FF0000"/>
        </w:rPr>
        <w:t xml:space="preserve">). </w:t>
      </w:r>
    </w:p>
    <w:p w14:paraId="31D06DF1" w14:textId="77777777" w:rsidR="00004497" w:rsidRDefault="005D4329" w:rsidP="005D4329">
      <w:pPr>
        <w:rPr>
          <w:rFonts w:ascii="Arial" w:hAnsi="Arial" w:cs="Arial"/>
          <w:color w:val="FF0000"/>
          <w:sz w:val="24"/>
          <w:szCs w:val="24"/>
        </w:rPr>
      </w:pPr>
      <w:r w:rsidRPr="00DB42DE">
        <w:rPr>
          <w:rFonts w:ascii="Arial" w:hAnsi="Arial" w:cs="Arial"/>
          <w:color w:val="FF0000"/>
          <w:sz w:val="24"/>
          <w:szCs w:val="24"/>
        </w:rPr>
        <w:t xml:space="preserve">There will be a general presumption against large scale residential developments (in excess of 100 units) which comprise of 100% BTR typology. To ensure a sustainable mix of tenure and long term sustainable communities, a minimum of 60% of standard </w:t>
      </w:r>
      <w:r w:rsidRPr="00DB42DE">
        <w:rPr>
          <w:rFonts w:ascii="Arial" w:hAnsi="Arial" w:cs="Arial"/>
          <w:color w:val="FF0000"/>
          <w:sz w:val="24"/>
          <w:szCs w:val="24"/>
        </w:rPr>
        <w:lastRenderedPageBreak/>
        <w:t>designed apartments will be required in such instances. BTR schemes of less than 100 units will generally not be</w:t>
      </w:r>
      <w:r>
        <w:rPr>
          <w:rFonts w:ascii="Arial" w:hAnsi="Arial" w:cs="Arial"/>
          <w:color w:val="FF0000"/>
          <w:sz w:val="24"/>
          <w:szCs w:val="24"/>
        </w:rPr>
        <w:t xml:space="preserve"> supported. </w:t>
      </w:r>
    </w:p>
    <w:p w14:paraId="27362329" w14:textId="27E25B2C" w:rsidR="005D4329" w:rsidRPr="00DB42DE" w:rsidRDefault="005D4329" w:rsidP="005D4329">
      <w:pPr>
        <w:rPr>
          <w:rFonts w:ascii="Arial" w:hAnsi="Arial" w:cs="Arial"/>
          <w:color w:val="FF0000"/>
          <w:sz w:val="24"/>
          <w:szCs w:val="24"/>
        </w:rPr>
      </w:pPr>
      <w:r>
        <w:rPr>
          <w:rFonts w:ascii="Arial" w:hAnsi="Arial" w:cs="Arial"/>
          <w:color w:val="FF0000"/>
          <w:sz w:val="24"/>
          <w:szCs w:val="24"/>
        </w:rPr>
        <w:t>The concept of Build</w:t>
      </w:r>
      <w:r w:rsidRPr="00DB42DE">
        <w:rPr>
          <w:rFonts w:ascii="Arial" w:hAnsi="Arial" w:cs="Arial"/>
          <w:color w:val="FF0000"/>
          <w:sz w:val="24"/>
          <w:szCs w:val="24"/>
        </w:rPr>
        <w:t xml:space="preserve"> to Rent requires a critical mass of accommodation to provide a meaningful provision of communal facilities and services. Smaller BTR schemes with less than 100 units will only be considered where it can be demonstrated that there is a strong need for the development and a detailed justification is provided. </w:t>
      </w:r>
    </w:p>
    <w:p w14:paraId="62EF91EB" w14:textId="77777777" w:rsidR="005D4329" w:rsidRPr="00DB42DE" w:rsidRDefault="005D4329" w:rsidP="005D4329">
      <w:pPr>
        <w:rPr>
          <w:rFonts w:ascii="Arial" w:hAnsi="Arial" w:cs="Arial"/>
          <w:color w:val="FF0000"/>
          <w:sz w:val="24"/>
          <w:szCs w:val="24"/>
        </w:rPr>
      </w:pPr>
    </w:p>
    <w:tbl>
      <w:tblPr>
        <w:tblStyle w:val="GridTable5Dark-Accent112"/>
        <w:tblW w:w="0" w:type="auto"/>
        <w:tblLook w:val="04A0" w:firstRow="1" w:lastRow="0" w:firstColumn="1" w:lastColumn="0" w:noHBand="0" w:noVBand="1"/>
      </w:tblPr>
      <w:tblGrid>
        <w:gridCol w:w="1470"/>
        <w:gridCol w:w="7546"/>
      </w:tblGrid>
      <w:tr w:rsidR="005D4329" w:rsidRPr="00DB42DE" w14:paraId="590051BF" w14:textId="77777777" w:rsidTr="00C61CA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1BBDBCCA" w14:textId="77777777" w:rsidR="005D4329" w:rsidRPr="00DB42DE" w:rsidRDefault="005D4329" w:rsidP="00C61CA9">
            <w:pPr>
              <w:keepNext/>
              <w:spacing w:after="100"/>
              <w:rPr>
                <w:rFonts w:ascii="Arial" w:hAnsi="Arial" w:cs="Arial"/>
                <w:color w:val="FF0000"/>
                <w:sz w:val="24"/>
                <w:szCs w:val="24"/>
              </w:rPr>
            </w:pPr>
            <w:r w:rsidRPr="00DB42DE">
              <w:rPr>
                <w:rFonts w:ascii="Arial" w:hAnsi="Arial" w:cs="Arial"/>
                <w:color w:val="FF0000"/>
                <w:sz w:val="24"/>
                <w:szCs w:val="24"/>
              </w:rPr>
              <w:t>It is the Policy of Dublin City Council:</w:t>
            </w:r>
          </w:p>
        </w:tc>
      </w:tr>
      <w:tr w:rsidR="005D4329" w:rsidRPr="00DB42DE" w14:paraId="566829CC" w14:textId="77777777" w:rsidTr="00C61C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7C4CE759" w14:textId="77777777" w:rsidR="005D4329" w:rsidRPr="00DB42DE" w:rsidRDefault="005D4329" w:rsidP="00C61CA9">
            <w:pPr>
              <w:spacing w:after="100"/>
              <w:rPr>
                <w:rFonts w:ascii="Arial" w:hAnsi="Arial" w:cs="Arial"/>
                <w:color w:val="FF0000"/>
                <w:sz w:val="24"/>
                <w:szCs w:val="24"/>
              </w:rPr>
            </w:pPr>
            <w:r w:rsidRPr="00DB42DE">
              <w:rPr>
                <w:rFonts w:ascii="Arial" w:hAnsi="Arial" w:cs="Arial"/>
                <w:color w:val="FF0000"/>
                <w:sz w:val="24"/>
                <w:szCs w:val="24"/>
              </w:rPr>
              <w:t>QHSN40</w:t>
            </w:r>
            <w:r>
              <w:rPr>
                <w:rFonts w:ascii="Arial" w:hAnsi="Arial" w:cs="Arial"/>
                <w:color w:val="FF0000"/>
                <w:sz w:val="24"/>
                <w:szCs w:val="24"/>
              </w:rPr>
              <w:t>(a)</w:t>
            </w:r>
          </w:p>
        </w:tc>
        <w:tc>
          <w:tcPr>
            <w:tcW w:w="7839" w:type="dxa"/>
            <w:vAlign w:val="center"/>
          </w:tcPr>
          <w:p w14:paraId="2D542ECE" w14:textId="77777777" w:rsidR="005D4329" w:rsidRPr="00DB42DE"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b/>
                <w:color w:val="FF0000"/>
                <w:sz w:val="24"/>
                <w:szCs w:val="24"/>
              </w:rPr>
            </w:pPr>
            <w:r w:rsidRPr="00DB42DE">
              <w:rPr>
                <w:rFonts w:ascii="Arial" w:hAnsi="Arial" w:cs="Arial"/>
                <w:b/>
                <w:color w:val="FF0000"/>
                <w:sz w:val="24"/>
                <w:szCs w:val="24"/>
              </w:rPr>
              <w:t>Build to Rent Accommodation</w:t>
            </w:r>
          </w:p>
          <w:p w14:paraId="119456DA" w14:textId="77777777" w:rsidR="005D4329" w:rsidRPr="00DB42DE"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DB42DE">
              <w:rPr>
                <w:rFonts w:ascii="Arial" w:hAnsi="Arial" w:cs="Arial"/>
                <w:color w:val="FF0000"/>
                <w:sz w:val="24"/>
                <w:szCs w:val="24"/>
              </w:rPr>
              <w:t>To facilitate the pr</w:t>
            </w:r>
            <w:r>
              <w:rPr>
                <w:rFonts w:ascii="Arial" w:hAnsi="Arial" w:cs="Arial"/>
                <w:color w:val="FF0000"/>
                <w:sz w:val="24"/>
                <w:szCs w:val="24"/>
              </w:rPr>
              <w:t>ovision of Build to Rent (BTR) development</w:t>
            </w:r>
            <w:r w:rsidRPr="00DB42DE">
              <w:rPr>
                <w:rFonts w:ascii="Arial" w:hAnsi="Arial" w:cs="Arial"/>
                <w:color w:val="FF0000"/>
                <w:sz w:val="24"/>
                <w:szCs w:val="24"/>
              </w:rPr>
              <w:t xml:space="preserve"> </w:t>
            </w:r>
            <w:r>
              <w:rPr>
                <w:rFonts w:ascii="Arial" w:hAnsi="Arial" w:cs="Arial"/>
                <w:bCs/>
                <w:color w:val="FF0000"/>
                <w:sz w:val="24"/>
                <w:szCs w:val="24"/>
              </w:rPr>
              <w:t>proposals which, on or before 21</w:t>
            </w:r>
            <w:r w:rsidRPr="00D87E14">
              <w:rPr>
                <w:rFonts w:ascii="Arial" w:hAnsi="Arial" w:cs="Arial"/>
                <w:bCs/>
                <w:color w:val="FF0000"/>
                <w:sz w:val="24"/>
                <w:szCs w:val="24"/>
                <w:vertAlign w:val="superscript"/>
              </w:rPr>
              <w:t>st</w:t>
            </w:r>
            <w:r>
              <w:rPr>
                <w:rFonts w:ascii="Arial" w:hAnsi="Arial" w:cs="Arial"/>
                <w:bCs/>
                <w:color w:val="FF0000"/>
                <w:sz w:val="24"/>
                <w:szCs w:val="24"/>
              </w:rPr>
              <w:t xml:space="preserve"> December 2022, were at formal application / appeal stage or at formal pre-application stage (as per paragraphs 5.10 and 5.11 of the 2023 apartment guidelines) </w:t>
            </w:r>
            <w:r w:rsidRPr="00DB42DE">
              <w:rPr>
                <w:rFonts w:ascii="Arial" w:hAnsi="Arial" w:cs="Arial"/>
                <w:color w:val="FF0000"/>
                <w:sz w:val="24"/>
                <w:szCs w:val="24"/>
              </w:rPr>
              <w:t>in the following specific locations:</w:t>
            </w:r>
          </w:p>
          <w:p w14:paraId="02D49DA6" w14:textId="77777777" w:rsidR="005D4329" w:rsidRPr="00DB42DE" w:rsidRDefault="005D4329" w:rsidP="005D4329">
            <w:pPr>
              <w:pStyle w:val="ListParagraph"/>
              <w:numPr>
                <w:ilvl w:val="0"/>
                <w:numId w:val="16"/>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DB42DE">
              <w:rPr>
                <w:rFonts w:ascii="Arial" w:hAnsi="Arial" w:cs="Arial"/>
                <w:color w:val="FF0000"/>
              </w:rPr>
              <w:t>Within 500 metre walking distance of significant employment locations,</w:t>
            </w:r>
          </w:p>
          <w:p w14:paraId="31B0A27A" w14:textId="77777777" w:rsidR="005D4329" w:rsidRPr="00DB42DE" w:rsidRDefault="005D4329" w:rsidP="005D4329">
            <w:pPr>
              <w:pStyle w:val="ListParagraph"/>
              <w:numPr>
                <w:ilvl w:val="0"/>
                <w:numId w:val="16"/>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DB42DE">
              <w:rPr>
                <w:rFonts w:ascii="Arial" w:hAnsi="Arial" w:cs="Arial"/>
                <w:color w:val="FF0000"/>
              </w:rPr>
              <w:t xml:space="preserve">Within 500 metres of major public transport interchanges (e.g. Connolly Station, Tara Street Station and </w:t>
            </w:r>
            <w:proofErr w:type="spellStart"/>
            <w:r w:rsidRPr="00DB42DE">
              <w:rPr>
                <w:rFonts w:ascii="Arial" w:hAnsi="Arial" w:cs="Arial"/>
                <w:color w:val="FF0000"/>
              </w:rPr>
              <w:t>Heuston</w:t>
            </w:r>
            <w:proofErr w:type="spellEnd"/>
            <w:r w:rsidRPr="00DB42DE">
              <w:rPr>
                <w:rFonts w:ascii="Arial" w:hAnsi="Arial" w:cs="Arial"/>
                <w:color w:val="FF0000"/>
              </w:rPr>
              <w:t xml:space="preserve"> Station), and</w:t>
            </w:r>
          </w:p>
          <w:p w14:paraId="6055EC80" w14:textId="77777777" w:rsidR="005D4329" w:rsidRPr="00DB42DE" w:rsidRDefault="005D4329" w:rsidP="005D4329">
            <w:pPr>
              <w:pStyle w:val="ListParagraph"/>
              <w:numPr>
                <w:ilvl w:val="0"/>
                <w:numId w:val="16"/>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r w:rsidRPr="00DB42DE">
              <w:rPr>
                <w:rFonts w:ascii="Arial" w:hAnsi="Arial" w:cs="Arial"/>
                <w:color w:val="FF0000"/>
              </w:rPr>
              <w:t>Within identified Strategic Development Regenerations Areas.</w:t>
            </w:r>
          </w:p>
          <w:p w14:paraId="5B5ED499" w14:textId="77777777" w:rsidR="005D4329" w:rsidRPr="00DB42DE"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DB42DE">
              <w:rPr>
                <w:rFonts w:ascii="Arial" w:hAnsi="Arial" w:cs="Arial"/>
                <w:color w:val="FF0000"/>
                <w:sz w:val="24"/>
                <w:szCs w:val="24"/>
              </w:rPr>
              <w:t>There will be a general presumption against large scale residential developments (in excess of 100 units) which comprise of 100% BTR typology. To ensure there are opportunities for a sustainable mix of tenure and long term sustainable communities, a minimum of 60% of units within a development must be designed as standard apartments in accordance with the requirements set out in the Sustainable Urban Housing: Design Standards for New Apartments, December 2020, as updated.</w:t>
            </w:r>
          </w:p>
          <w:p w14:paraId="600ED336" w14:textId="77777777" w:rsidR="005D4329" w:rsidRPr="00DB42DE"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DB42DE">
              <w:rPr>
                <w:rFonts w:ascii="Arial" w:hAnsi="Arial" w:cs="Arial"/>
                <w:color w:val="FF0000"/>
                <w:sz w:val="24"/>
                <w:szCs w:val="24"/>
              </w:rPr>
              <w:t xml:space="preserve">There will be a presumption against the proliferation and over concentration of BTR development in any one area. In this regard, applications for BTR developments should be accompanied by an assessment of other permitted and proposed BTR developments within a 1km radius of the site to demonstrate: </w:t>
            </w:r>
          </w:p>
          <w:p w14:paraId="33C9B275" w14:textId="77777777" w:rsidR="005D4329" w:rsidRPr="00DB42DE" w:rsidRDefault="005D4329" w:rsidP="005D4329">
            <w:pPr>
              <w:pStyle w:val="ListParagraph"/>
              <w:numPr>
                <w:ilvl w:val="0"/>
                <w:numId w:val="17"/>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FF0000"/>
              </w:rPr>
            </w:pPr>
            <w:proofErr w:type="gramStart"/>
            <w:r w:rsidRPr="00DB42DE">
              <w:rPr>
                <w:rFonts w:ascii="Arial" w:hAnsi="Arial" w:cs="Arial"/>
                <w:color w:val="FF0000"/>
              </w:rPr>
              <w:t>that</w:t>
            </w:r>
            <w:proofErr w:type="gramEnd"/>
            <w:r w:rsidRPr="00DB42DE">
              <w:rPr>
                <w:rFonts w:ascii="Arial" w:hAnsi="Arial" w:cs="Arial"/>
                <w:color w:val="FF0000"/>
              </w:rPr>
              <w:t xml:space="preserve"> the development would not result in the overconcentration of one housing tenure in a particular area and take into account the location of the proposed BTR. </w:t>
            </w:r>
          </w:p>
          <w:p w14:paraId="5BD0054C" w14:textId="77777777" w:rsidR="005D4329" w:rsidRPr="00DB42DE" w:rsidRDefault="005D4329" w:rsidP="005D4329">
            <w:pPr>
              <w:pStyle w:val="ListParagraph"/>
              <w:numPr>
                <w:ilvl w:val="0"/>
                <w:numId w:val="17"/>
              </w:numPr>
              <w:spacing w:after="100" w:line="276" w:lineRule="auto"/>
              <w:ind w:left="337"/>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color w:val="FF0000"/>
              </w:rPr>
            </w:pPr>
            <w:proofErr w:type="gramStart"/>
            <w:r w:rsidRPr="00DB42DE">
              <w:rPr>
                <w:rFonts w:ascii="Arial" w:hAnsi="Arial" w:cs="Arial"/>
                <w:color w:val="FF0000"/>
              </w:rPr>
              <w:t>how</w:t>
            </w:r>
            <w:proofErr w:type="gramEnd"/>
            <w:r w:rsidRPr="00DB42DE">
              <w:rPr>
                <w:rFonts w:ascii="Arial" w:hAnsi="Arial" w:cs="Arial"/>
                <w:color w:val="FF0000"/>
              </w:rPr>
              <w:t xml:space="preserve"> the development supports housing need, particularly with regard to tenure, unit size and accessibility with particular reference to the Dublin City Council Housing Need and Demand Assessment.</w:t>
            </w:r>
          </w:p>
        </w:tc>
      </w:tr>
      <w:tr w:rsidR="005D4329" w:rsidRPr="00DB42DE" w14:paraId="4C513102" w14:textId="77777777" w:rsidTr="00C61CA9">
        <w:trPr>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7518543E" w14:textId="77777777" w:rsidR="005D4329" w:rsidRPr="00DB42DE" w:rsidRDefault="005D4329" w:rsidP="00C61CA9">
            <w:pPr>
              <w:spacing w:after="100"/>
              <w:rPr>
                <w:rFonts w:ascii="Arial" w:hAnsi="Arial" w:cs="Arial"/>
                <w:color w:val="FF0000"/>
                <w:sz w:val="24"/>
                <w:szCs w:val="24"/>
              </w:rPr>
            </w:pPr>
            <w:r w:rsidRPr="00DB42DE">
              <w:rPr>
                <w:rFonts w:ascii="Arial" w:hAnsi="Arial" w:cs="Arial"/>
                <w:color w:val="FF0000"/>
                <w:sz w:val="24"/>
                <w:szCs w:val="24"/>
              </w:rPr>
              <w:lastRenderedPageBreak/>
              <w:t>QHSN41</w:t>
            </w:r>
            <w:r>
              <w:rPr>
                <w:rFonts w:ascii="Arial" w:hAnsi="Arial" w:cs="Arial"/>
                <w:color w:val="FF0000"/>
                <w:sz w:val="24"/>
                <w:szCs w:val="24"/>
              </w:rPr>
              <w:t>(a)</w:t>
            </w:r>
          </w:p>
        </w:tc>
        <w:tc>
          <w:tcPr>
            <w:tcW w:w="7839" w:type="dxa"/>
            <w:vAlign w:val="center"/>
          </w:tcPr>
          <w:p w14:paraId="4164C642" w14:textId="77777777" w:rsidR="005D4329" w:rsidRPr="00DB42DE" w:rsidRDefault="005D4329" w:rsidP="00C61CA9">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r>
              <w:rPr>
                <w:rFonts w:ascii="Arial" w:hAnsi="Arial" w:cs="Arial"/>
                <w:color w:val="FF0000"/>
                <w:sz w:val="24"/>
                <w:szCs w:val="24"/>
              </w:rPr>
              <w:t>Build</w:t>
            </w:r>
            <w:r w:rsidRPr="00DB42DE">
              <w:rPr>
                <w:rFonts w:ascii="Arial" w:hAnsi="Arial" w:cs="Arial"/>
                <w:color w:val="FF0000"/>
                <w:sz w:val="24"/>
                <w:szCs w:val="24"/>
              </w:rPr>
              <w:t xml:space="preserve"> to Rent Accommodation</w:t>
            </w:r>
          </w:p>
          <w:p w14:paraId="5216B601" w14:textId="77777777" w:rsidR="005D4329" w:rsidRPr="00DB42DE" w:rsidRDefault="005D4329" w:rsidP="00C61CA9">
            <w:pPr>
              <w:spacing w:after="100"/>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r w:rsidRPr="00DB42DE">
              <w:rPr>
                <w:rFonts w:ascii="Arial" w:hAnsi="Arial" w:cs="Arial"/>
                <w:color w:val="FF0000"/>
                <w:sz w:val="24"/>
                <w:szCs w:val="24"/>
              </w:rPr>
              <w:t xml:space="preserve">To discourage BTR Accommodation schemes of less than 100 units due to the need to provide a critical mass of accommodation to provide a meaningful provision of communal facilities and services. Smaller BTR accommodation schemes with less than 100 units will only be considered in exceptional circumstances and where a detailed justification is provided. </w:t>
            </w:r>
          </w:p>
        </w:tc>
      </w:tr>
      <w:tr w:rsidR="005D4329" w:rsidRPr="00DB42DE" w14:paraId="51E80CC5" w14:textId="77777777" w:rsidTr="00C61CA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61D2021A" w14:textId="77777777" w:rsidR="005D4329" w:rsidRPr="00DB42DE" w:rsidRDefault="005D4329" w:rsidP="00C61CA9">
            <w:pPr>
              <w:spacing w:after="100"/>
              <w:rPr>
                <w:rFonts w:ascii="Arial" w:hAnsi="Arial" w:cs="Arial"/>
                <w:color w:val="FF0000"/>
                <w:sz w:val="24"/>
                <w:szCs w:val="24"/>
              </w:rPr>
            </w:pPr>
            <w:r w:rsidRPr="00DB42DE">
              <w:rPr>
                <w:rFonts w:ascii="Arial" w:hAnsi="Arial" w:cs="Arial"/>
                <w:color w:val="FF0000"/>
                <w:sz w:val="24"/>
                <w:szCs w:val="24"/>
              </w:rPr>
              <w:t>QHSN42</w:t>
            </w:r>
            <w:r>
              <w:rPr>
                <w:rFonts w:ascii="Arial" w:hAnsi="Arial" w:cs="Arial"/>
                <w:color w:val="FF0000"/>
                <w:sz w:val="24"/>
                <w:szCs w:val="24"/>
              </w:rPr>
              <w:t>(a)</w:t>
            </w:r>
          </w:p>
        </w:tc>
        <w:tc>
          <w:tcPr>
            <w:tcW w:w="7839" w:type="dxa"/>
            <w:vAlign w:val="center"/>
          </w:tcPr>
          <w:p w14:paraId="50A77A42" w14:textId="77777777" w:rsidR="005D4329" w:rsidRPr="00DB42DE" w:rsidRDefault="005D4329" w:rsidP="00C61CA9">
            <w:pPr>
              <w:pStyle w:val="Heading6"/>
              <w:outlineLvl w:val="5"/>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Pr>
                <w:rFonts w:ascii="Arial" w:hAnsi="Arial" w:cs="Arial"/>
                <w:color w:val="FF0000"/>
                <w:sz w:val="24"/>
                <w:szCs w:val="24"/>
              </w:rPr>
              <w:t>Build</w:t>
            </w:r>
            <w:r w:rsidRPr="00DB42DE">
              <w:rPr>
                <w:rFonts w:ascii="Arial" w:hAnsi="Arial" w:cs="Arial"/>
                <w:color w:val="FF0000"/>
                <w:sz w:val="24"/>
                <w:szCs w:val="24"/>
              </w:rPr>
              <w:t xml:space="preserve"> to Rent Accommodation</w:t>
            </w:r>
          </w:p>
          <w:p w14:paraId="440A1583" w14:textId="77777777" w:rsidR="005D4329" w:rsidRPr="00DB42DE" w:rsidRDefault="005D4329" w:rsidP="00C61CA9">
            <w:pPr>
              <w:spacing w:after="100"/>
              <w:cnfStyle w:val="000000100000" w:firstRow="0" w:lastRow="0" w:firstColumn="0" w:lastColumn="0" w:oddVBand="0" w:evenVBand="0" w:oddHBand="1" w:evenHBand="0" w:firstRowFirstColumn="0" w:firstRowLastColumn="0" w:lastRowFirstColumn="0" w:lastRowLastColumn="0"/>
              <w:rPr>
                <w:rFonts w:ascii="Arial" w:hAnsi="Arial" w:cs="Arial"/>
                <w:color w:val="FF0000"/>
                <w:sz w:val="24"/>
                <w:szCs w:val="24"/>
              </w:rPr>
            </w:pPr>
            <w:r w:rsidRPr="00DB42DE">
              <w:rPr>
                <w:rFonts w:ascii="Arial" w:hAnsi="Arial" w:cs="Arial"/>
                <w:color w:val="FF0000"/>
                <w:sz w:val="24"/>
                <w:szCs w:val="24"/>
              </w:rPr>
              <w:t>To foster community both within a BTR scheme and to encourage its integration into the existing community, the applicant will be requested to provide an evidenced based analysis that the proposed resident support facilities are appropriate to the intended rental market having regard to the scale and location of the proposal.  The applicant must also demonstrate how the BTR scheme must contribute to the sustainable development of the broader community and neighbourhood.</w:t>
            </w:r>
          </w:p>
        </w:tc>
      </w:tr>
      <w:tr w:rsidR="005D4329" w:rsidRPr="00DB42DE" w14:paraId="0DB3F263" w14:textId="77777777" w:rsidTr="00C61CA9">
        <w:trPr>
          <w:cantSplit/>
        </w:trPr>
        <w:tc>
          <w:tcPr>
            <w:cnfStyle w:val="001000000000" w:firstRow="0" w:lastRow="0" w:firstColumn="1" w:lastColumn="0" w:oddVBand="0" w:evenVBand="0" w:oddHBand="0" w:evenHBand="0" w:firstRowFirstColumn="0" w:firstRowLastColumn="0" w:lastRowFirstColumn="0" w:lastRowLastColumn="0"/>
            <w:tcW w:w="1177" w:type="dxa"/>
            <w:vAlign w:val="center"/>
          </w:tcPr>
          <w:p w14:paraId="4E3EB4A9" w14:textId="77777777" w:rsidR="005D4329" w:rsidRPr="00DB42DE" w:rsidRDefault="005D4329" w:rsidP="00C61CA9">
            <w:pPr>
              <w:spacing w:after="100"/>
              <w:rPr>
                <w:rFonts w:ascii="Arial" w:hAnsi="Arial" w:cs="Arial"/>
                <w:color w:val="FF0000"/>
                <w:sz w:val="24"/>
                <w:szCs w:val="24"/>
              </w:rPr>
            </w:pPr>
            <w:r w:rsidRPr="00DB42DE">
              <w:rPr>
                <w:rFonts w:ascii="Arial" w:hAnsi="Arial" w:cs="Arial"/>
                <w:color w:val="FF0000"/>
                <w:sz w:val="24"/>
                <w:szCs w:val="24"/>
              </w:rPr>
              <w:t xml:space="preserve">QHSN44(a) </w:t>
            </w:r>
          </w:p>
        </w:tc>
        <w:tc>
          <w:tcPr>
            <w:tcW w:w="7839" w:type="dxa"/>
            <w:vAlign w:val="center"/>
          </w:tcPr>
          <w:p w14:paraId="56A5A217" w14:textId="77777777" w:rsidR="005D4329" w:rsidRPr="00DB42DE" w:rsidRDefault="005D4329" w:rsidP="00C61CA9">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r w:rsidRPr="00DB42DE">
              <w:rPr>
                <w:rFonts w:ascii="Arial" w:hAnsi="Arial" w:cs="Arial"/>
                <w:color w:val="FF0000"/>
                <w:sz w:val="24"/>
                <w:szCs w:val="24"/>
              </w:rPr>
              <w:t>Build to Rent</w:t>
            </w:r>
          </w:p>
          <w:p w14:paraId="2B483F5F" w14:textId="77777777" w:rsidR="005D4329" w:rsidRPr="00DB42DE" w:rsidRDefault="005D4329" w:rsidP="00C61CA9">
            <w:pPr>
              <w:pStyle w:val="Heading6"/>
              <w:outlineLvl w:val="5"/>
              <w:cnfStyle w:val="000000000000" w:firstRow="0" w:lastRow="0" w:firstColumn="0" w:lastColumn="0" w:oddVBand="0" w:evenVBand="0" w:oddHBand="0" w:evenHBand="0" w:firstRowFirstColumn="0" w:firstRowLastColumn="0" w:lastRowFirstColumn="0" w:lastRowLastColumn="0"/>
              <w:rPr>
                <w:rFonts w:ascii="Arial" w:hAnsi="Arial" w:cs="Arial"/>
                <w:color w:val="FF0000"/>
                <w:sz w:val="24"/>
                <w:szCs w:val="24"/>
              </w:rPr>
            </w:pPr>
            <w:r w:rsidRPr="00DB42DE">
              <w:rPr>
                <w:rFonts w:ascii="Arial" w:hAnsi="Arial" w:cs="Arial"/>
                <w:color w:val="FF0000"/>
                <w:sz w:val="24"/>
                <w:szCs w:val="24"/>
              </w:rPr>
              <w:t>It is the policy of DCC to avoid the proliferation and concentration of clusters of build to rent development in any area of the city.</w:t>
            </w:r>
          </w:p>
        </w:tc>
      </w:tr>
    </w:tbl>
    <w:p w14:paraId="4B666F65" w14:textId="77777777" w:rsidR="005D4329" w:rsidRPr="00DB42DE" w:rsidRDefault="005D4329" w:rsidP="005D4329">
      <w:pPr>
        <w:jc w:val="both"/>
        <w:rPr>
          <w:rFonts w:ascii="Arial" w:hAnsi="Arial" w:cs="Arial"/>
          <w:bCs/>
          <w:color w:val="FF0000"/>
          <w:sz w:val="20"/>
          <w:szCs w:val="20"/>
        </w:rPr>
      </w:pPr>
    </w:p>
    <w:p w14:paraId="33CC4EB5" w14:textId="77777777" w:rsidR="005D4329" w:rsidRPr="00DB42DE" w:rsidRDefault="005D4329" w:rsidP="005D4329">
      <w:pPr>
        <w:jc w:val="both"/>
        <w:rPr>
          <w:rFonts w:ascii="Arial" w:hAnsi="Arial" w:cs="Arial"/>
          <w:bCs/>
          <w:color w:val="FF0000"/>
          <w:sz w:val="20"/>
          <w:szCs w:val="20"/>
        </w:rPr>
      </w:pPr>
    </w:p>
    <w:p w14:paraId="3FF44780" w14:textId="77777777" w:rsidR="005D4329" w:rsidRPr="00DB42DE" w:rsidRDefault="005D4329" w:rsidP="005D4329">
      <w:pPr>
        <w:jc w:val="both"/>
        <w:rPr>
          <w:rFonts w:ascii="Arial" w:hAnsi="Arial" w:cs="Arial"/>
          <w:b/>
          <w:color w:val="FF0000"/>
          <w:sz w:val="24"/>
          <w:szCs w:val="24"/>
        </w:rPr>
      </w:pPr>
      <w:r w:rsidRPr="00DB42DE">
        <w:rPr>
          <w:rFonts w:ascii="Arial" w:hAnsi="Arial" w:cs="Arial"/>
          <w:b/>
          <w:color w:val="FF0000"/>
          <w:sz w:val="24"/>
          <w:szCs w:val="24"/>
        </w:rPr>
        <w:t>3.2</w:t>
      </w:r>
      <w:r w:rsidRPr="00DB42DE">
        <w:rPr>
          <w:rFonts w:ascii="Arial" w:hAnsi="Arial" w:cs="Arial"/>
          <w:b/>
          <w:color w:val="FF0000"/>
          <w:sz w:val="24"/>
          <w:szCs w:val="24"/>
        </w:rPr>
        <w:tab/>
        <w:t>Land Use Zoning</w:t>
      </w:r>
    </w:p>
    <w:p w14:paraId="1967D9DC" w14:textId="77777777" w:rsidR="005D4329" w:rsidRPr="00DB42DE" w:rsidRDefault="005D4329" w:rsidP="005D4329">
      <w:pPr>
        <w:jc w:val="both"/>
        <w:rPr>
          <w:rFonts w:ascii="Arial" w:hAnsi="Arial" w:cs="Arial"/>
          <w:bCs/>
          <w:color w:val="FF0000"/>
          <w:sz w:val="24"/>
          <w:szCs w:val="24"/>
        </w:rPr>
      </w:pPr>
      <w:r w:rsidRPr="00DB42DE">
        <w:rPr>
          <w:rFonts w:ascii="Arial" w:hAnsi="Arial" w:cs="Arial"/>
          <w:bCs/>
          <w:color w:val="FF0000"/>
          <w:sz w:val="24"/>
          <w:szCs w:val="24"/>
        </w:rPr>
        <w:t>The following should be read in conjunction with Chapter 14 of Volume 1: Written Statement of the Development Plan (Land Use Zoning) and with Maps A to H of the Plan.</w:t>
      </w:r>
    </w:p>
    <w:p w14:paraId="401D9707" w14:textId="77777777" w:rsidR="005D4329" w:rsidRPr="00DB42DE" w:rsidRDefault="005D4329" w:rsidP="005D4329">
      <w:pPr>
        <w:jc w:val="both"/>
        <w:rPr>
          <w:rFonts w:ascii="Arial" w:hAnsi="Arial" w:cs="Arial"/>
          <w:bCs/>
          <w:color w:val="FF0000"/>
          <w:sz w:val="24"/>
          <w:szCs w:val="24"/>
        </w:rPr>
      </w:pPr>
      <w:r w:rsidRPr="00DB42DE">
        <w:rPr>
          <w:rFonts w:ascii="Arial" w:hAnsi="Arial" w:cs="Arial"/>
          <w:bCs/>
          <w:color w:val="FF0000"/>
          <w:sz w:val="24"/>
          <w:szCs w:val="24"/>
        </w:rPr>
        <w:t xml:space="preserve">In order to achieve a sustainable tenure mix in neighbourhoods, the Build-To-Rent residential typology is predominantly in the open for consideration category.  </w:t>
      </w:r>
    </w:p>
    <w:p w14:paraId="4A37B3AB" w14:textId="77777777" w:rsidR="005D4329" w:rsidRPr="00DB42DE" w:rsidRDefault="005D4329" w:rsidP="005D4329">
      <w:pPr>
        <w:jc w:val="both"/>
        <w:rPr>
          <w:rFonts w:ascii="Arial" w:hAnsi="Arial" w:cs="Arial"/>
          <w:bCs/>
          <w:color w:val="FF0000"/>
          <w:sz w:val="24"/>
          <w:szCs w:val="24"/>
        </w:rPr>
      </w:pPr>
      <w:r w:rsidRPr="00DB42DE">
        <w:rPr>
          <w:rFonts w:ascii="Arial" w:hAnsi="Arial" w:cs="Arial"/>
          <w:bCs/>
          <w:color w:val="FF0000"/>
          <w:sz w:val="24"/>
          <w:szCs w:val="24"/>
        </w:rPr>
        <w:t>In brief Build-To-Rent resid</w:t>
      </w:r>
      <w:r>
        <w:rPr>
          <w:rFonts w:ascii="Arial" w:hAnsi="Arial" w:cs="Arial"/>
          <w:bCs/>
          <w:color w:val="FF0000"/>
          <w:sz w:val="24"/>
          <w:szCs w:val="24"/>
        </w:rPr>
        <w:t xml:space="preserve">ential is open for consideration as a transitional arrangement only as set out in </w:t>
      </w:r>
      <w:proofErr w:type="gramStart"/>
      <w:r>
        <w:rPr>
          <w:rFonts w:ascii="Arial" w:hAnsi="Arial" w:cs="Arial"/>
          <w:bCs/>
          <w:color w:val="FF0000"/>
          <w:sz w:val="24"/>
          <w:szCs w:val="24"/>
        </w:rPr>
        <w:t>QHSN40(</w:t>
      </w:r>
      <w:proofErr w:type="gramEnd"/>
      <w:r>
        <w:rPr>
          <w:rFonts w:ascii="Arial" w:hAnsi="Arial" w:cs="Arial"/>
          <w:bCs/>
          <w:color w:val="FF0000"/>
          <w:sz w:val="24"/>
          <w:szCs w:val="24"/>
        </w:rPr>
        <w:t xml:space="preserve">a) </w:t>
      </w:r>
      <w:r w:rsidRPr="00DB42DE">
        <w:rPr>
          <w:rFonts w:ascii="Arial" w:hAnsi="Arial" w:cs="Arial"/>
          <w:bCs/>
          <w:color w:val="FF0000"/>
          <w:sz w:val="24"/>
          <w:szCs w:val="24"/>
        </w:rPr>
        <w:t xml:space="preserve">under Land Use Zoning Objectives Z1, Z2, Z4, Z5, Z10, Z12.  </w:t>
      </w:r>
    </w:p>
    <w:p w14:paraId="55F495F0" w14:textId="77777777" w:rsidR="005D4329" w:rsidRPr="00DB42DE" w:rsidRDefault="005D4329" w:rsidP="005D4329">
      <w:pPr>
        <w:jc w:val="both"/>
        <w:rPr>
          <w:rFonts w:ascii="Arial" w:hAnsi="Arial" w:cs="Arial"/>
          <w:bCs/>
          <w:color w:val="FF0000"/>
          <w:sz w:val="24"/>
          <w:szCs w:val="24"/>
        </w:rPr>
      </w:pPr>
      <w:r w:rsidRPr="00DB42DE">
        <w:rPr>
          <w:rFonts w:ascii="Arial" w:hAnsi="Arial" w:cs="Arial"/>
          <w:bCs/>
          <w:color w:val="FF0000"/>
          <w:sz w:val="24"/>
          <w:szCs w:val="24"/>
        </w:rPr>
        <w:t xml:space="preserve">Build-To-Rent residential is a permissible use under </w:t>
      </w:r>
      <w:r>
        <w:rPr>
          <w:rFonts w:ascii="Arial" w:hAnsi="Arial" w:cs="Arial"/>
          <w:bCs/>
          <w:color w:val="FF0000"/>
          <w:sz w:val="24"/>
          <w:szCs w:val="24"/>
        </w:rPr>
        <w:t xml:space="preserve">Land Use Zoning Objective Z14 only as a transitional arrangement as described in </w:t>
      </w:r>
      <w:proofErr w:type="gramStart"/>
      <w:r>
        <w:rPr>
          <w:rFonts w:ascii="Arial" w:hAnsi="Arial" w:cs="Arial"/>
          <w:bCs/>
          <w:color w:val="FF0000"/>
          <w:sz w:val="24"/>
          <w:szCs w:val="24"/>
        </w:rPr>
        <w:t>QHSN40(</w:t>
      </w:r>
      <w:proofErr w:type="gramEnd"/>
      <w:r>
        <w:rPr>
          <w:rFonts w:ascii="Arial" w:hAnsi="Arial" w:cs="Arial"/>
          <w:bCs/>
          <w:color w:val="FF0000"/>
          <w:sz w:val="24"/>
          <w:szCs w:val="24"/>
        </w:rPr>
        <w:t xml:space="preserve">a). </w:t>
      </w:r>
    </w:p>
    <w:p w14:paraId="23290AD4" w14:textId="77777777" w:rsidR="005D4329" w:rsidRPr="00DB42DE" w:rsidRDefault="005D4329" w:rsidP="005D4329">
      <w:pPr>
        <w:jc w:val="both"/>
        <w:rPr>
          <w:rFonts w:ascii="Arial" w:hAnsi="Arial" w:cs="Arial"/>
          <w:b/>
          <w:color w:val="FF0000"/>
          <w:sz w:val="24"/>
          <w:szCs w:val="24"/>
        </w:rPr>
      </w:pPr>
    </w:p>
    <w:p w14:paraId="78913D68" w14:textId="77777777" w:rsidR="005D4329" w:rsidRPr="00DB42DE" w:rsidRDefault="005D4329" w:rsidP="005D4329">
      <w:pPr>
        <w:jc w:val="both"/>
        <w:rPr>
          <w:rFonts w:ascii="Arial" w:hAnsi="Arial" w:cs="Arial"/>
          <w:b/>
          <w:color w:val="FF0000"/>
          <w:sz w:val="24"/>
          <w:szCs w:val="24"/>
        </w:rPr>
      </w:pPr>
      <w:r w:rsidRPr="00DB42DE">
        <w:rPr>
          <w:rFonts w:ascii="Arial" w:hAnsi="Arial" w:cs="Arial"/>
          <w:b/>
          <w:color w:val="FF0000"/>
          <w:sz w:val="24"/>
          <w:szCs w:val="24"/>
        </w:rPr>
        <w:t>3.3</w:t>
      </w:r>
      <w:r w:rsidRPr="00DB42DE">
        <w:rPr>
          <w:rFonts w:ascii="Arial" w:hAnsi="Arial" w:cs="Arial"/>
          <w:b/>
          <w:color w:val="FF0000"/>
          <w:sz w:val="24"/>
          <w:szCs w:val="24"/>
        </w:rPr>
        <w:tab/>
        <w:t>Development Standards for Build to Rent</w:t>
      </w:r>
    </w:p>
    <w:p w14:paraId="76EDA92D"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 xml:space="preserve">This section sets out specific guidance for Build to Rent.  </w:t>
      </w:r>
    </w:p>
    <w:p w14:paraId="168020DB" w14:textId="77777777" w:rsidR="005D4329" w:rsidRPr="00DB42DE" w:rsidRDefault="005D4329" w:rsidP="005D4329">
      <w:pPr>
        <w:rPr>
          <w:rFonts w:ascii="Arial" w:eastAsia="Arial" w:hAnsi="Arial" w:cs="Arial"/>
          <w:color w:val="FF0000"/>
          <w:sz w:val="24"/>
          <w:szCs w:val="24"/>
        </w:rPr>
      </w:pPr>
      <w:r w:rsidRPr="00DB42DE">
        <w:rPr>
          <w:rFonts w:ascii="Arial" w:eastAsia="Arial" w:hAnsi="Arial" w:cs="Arial"/>
          <w:color w:val="FF0000"/>
          <w:sz w:val="24"/>
          <w:szCs w:val="24"/>
        </w:rPr>
        <w:t>For clarity</w:t>
      </w:r>
      <w:r w:rsidRPr="00134F4F">
        <w:rPr>
          <w:rFonts w:ascii="Arial" w:eastAsia="Arial" w:hAnsi="Arial" w:cs="Arial"/>
          <w:color w:val="FF0000"/>
          <w:sz w:val="24"/>
          <w:szCs w:val="24"/>
        </w:rPr>
        <w:t>, in accordance with SPPR 8,</w:t>
      </w:r>
      <w:r w:rsidRPr="00DB42DE">
        <w:rPr>
          <w:rFonts w:ascii="Arial" w:eastAsia="Arial" w:hAnsi="Arial" w:cs="Arial"/>
          <w:color w:val="FF0000"/>
          <w:sz w:val="24"/>
          <w:szCs w:val="24"/>
        </w:rPr>
        <w:t xml:space="preserve"> the unit mix requirement for the North Inner City and Liberties Sub-City Areas does not apply to units that are designed to a BTR standard.</w:t>
      </w:r>
    </w:p>
    <w:p w14:paraId="5FFE8B63" w14:textId="77777777" w:rsidR="005D4329" w:rsidRPr="00DB42DE" w:rsidRDefault="005D4329" w:rsidP="005D4329">
      <w:pPr>
        <w:pStyle w:val="Heading2"/>
        <w:rPr>
          <w:rFonts w:ascii="Arial" w:hAnsi="Arial" w:cs="Arial"/>
          <w:color w:val="FF0000"/>
          <w:sz w:val="24"/>
          <w:szCs w:val="24"/>
        </w:rPr>
      </w:pPr>
      <w:r w:rsidRPr="00DB42DE">
        <w:rPr>
          <w:rFonts w:ascii="Arial" w:hAnsi="Arial" w:cs="Arial"/>
          <w:color w:val="FF0000"/>
          <w:sz w:val="24"/>
          <w:szCs w:val="24"/>
        </w:rPr>
        <w:lastRenderedPageBreak/>
        <w:t>3.3.1</w:t>
      </w:r>
      <w:r w:rsidRPr="00DB42DE">
        <w:rPr>
          <w:rFonts w:ascii="Arial" w:hAnsi="Arial" w:cs="Arial"/>
          <w:color w:val="FF0000"/>
          <w:sz w:val="24"/>
          <w:szCs w:val="24"/>
        </w:rPr>
        <w:tab/>
        <w:t>Build to Rent Residential Developments (BTR)</w:t>
      </w:r>
    </w:p>
    <w:p w14:paraId="433637F2" w14:textId="77777777" w:rsidR="005D4329" w:rsidRPr="00DB42DE" w:rsidRDefault="005D4329" w:rsidP="005D4329">
      <w:pPr>
        <w:spacing w:after="0"/>
        <w:rPr>
          <w:rFonts w:ascii="Arial" w:hAnsi="Arial" w:cs="Arial"/>
          <w:color w:val="FF0000"/>
          <w:sz w:val="24"/>
          <w:szCs w:val="24"/>
        </w:rPr>
      </w:pPr>
      <w:r w:rsidRPr="00DB42DE">
        <w:rPr>
          <w:rFonts w:ascii="Arial" w:hAnsi="Arial" w:cs="Arial"/>
          <w:color w:val="FF0000"/>
          <w:sz w:val="24"/>
          <w:szCs w:val="24"/>
        </w:rPr>
        <w:t>“Build to Ren</w:t>
      </w:r>
      <w:r>
        <w:rPr>
          <w:rFonts w:ascii="Arial" w:hAnsi="Arial" w:cs="Arial"/>
          <w:color w:val="FF0000"/>
          <w:sz w:val="24"/>
          <w:szCs w:val="24"/>
        </w:rPr>
        <w:t>t” (BTR) refers to purpose build</w:t>
      </w:r>
      <w:r w:rsidRPr="00DB42DE">
        <w:rPr>
          <w:rFonts w:ascii="Arial" w:hAnsi="Arial" w:cs="Arial"/>
          <w:color w:val="FF0000"/>
          <w:sz w:val="24"/>
          <w:szCs w:val="24"/>
        </w:rPr>
        <w:t xml:space="preserve"> residential accommodatio</w:t>
      </w:r>
      <w:r>
        <w:rPr>
          <w:rFonts w:ascii="Arial" w:hAnsi="Arial" w:cs="Arial"/>
          <w:color w:val="FF0000"/>
          <w:sz w:val="24"/>
          <w:szCs w:val="24"/>
        </w:rPr>
        <w:t>n and associated amenities build</w:t>
      </w:r>
      <w:r w:rsidRPr="00DB42DE">
        <w:rPr>
          <w:rFonts w:ascii="Arial" w:hAnsi="Arial" w:cs="Arial"/>
          <w:color w:val="FF0000"/>
          <w:sz w:val="24"/>
          <w:szCs w:val="24"/>
        </w:rPr>
        <w:t xml:space="preserve"> specifically for long term rental that is managed and serviced in an institutional manner by an institutional landlord. Recent emerging trends would indicate that the dominance of BTR in large schemes can be to the detriment of </w:t>
      </w:r>
      <w:r w:rsidRPr="00DB42DE">
        <w:rPr>
          <w:rFonts w:ascii="Arial" w:hAnsi="Arial" w:cs="Arial"/>
          <w:bCs/>
          <w:color w:val="FF0000"/>
          <w:sz w:val="24"/>
          <w:szCs w:val="24"/>
        </w:rPr>
        <w:t xml:space="preserve">standard designed apartment </w:t>
      </w:r>
      <w:r w:rsidRPr="00DB42DE">
        <w:rPr>
          <w:rFonts w:ascii="Arial" w:hAnsi="Arial" w:cs="Arial"/>
          <w:color w:val="FF0000"/>
          <w:sz w:val="24"/>
          <w:szCs w:val="24"/>
        </w:rPr>
        <w:t>units. Dublin C</w:t>
      </w:r>
      <w:r>
        <w:rPr>
          <w:rFonts w:ascii="Arial" w:hAnsi="Arial" w:cs="Arial"/>
          <w:color w:val="FF0000"/>
          <w:sz w:val="24"/>
          <w:szCs w:val="24"/>
        </w:rPr>
        <w:t>ity Council will consider “Build</w:t>
      </w:r>
      <w:r w:rsidRPr="00DB42DE">
        <w:rPr>
          <w:rFonts w:ascii="Arial" w:hAnsi="Arial" w:cs="Arial"/>
          <w:color w:val="FF0000"/>
          <w:sz w:val="24"/>
          <w:szCs w:val="24"/>
        </w:rPr>
        <w:t xml:space="preserve"> to Rent” developments in specific locations as follows:</w:t>
      </w:r>
    </w:p>
    <w:p w14:paraId="120D16BC" w14:textId="77777777" w:rsidR="005D4329" w:rsidRPr="00DB42DE" w:rsidRDefault="005D4329" w:rsidP="005D4329">
      <w:pPr>
        <w:spacing w:after="0"/>
        <w:rPr>
          <w:rFonts w:ascii="Arial" w:hAnsi="Arial" w:cs="Arial"/>
          <w:color w:val="FF0000"/>
          <w:sz w:val="24"/>
          <w:szCs w:val="24"/>
        </w:rPr>
      </w:pPr>
    </w:p>
    <w:p w14:paraId="1B2DD948" w14:textId="77777777" w:rsidR="005D4329" w:rsidRPr="00DB42DE" w:rsidRDefault="005D4329" w:rsidP="005D4329">
      <w:pPr>
        <w:pStyle w:val="Default"/>
        <w:numPr>
          <w:ilvl w:val="0"/>
          <w:numId w:val="18"/>
        </w:numPr>
        <w:spacing w:line="276" w:lineRule="auto"/>
        <w:rPr>
          <w:rFonts w:ascii="Arial" w:eastAsia="Calibri" w:hAnsi="Arial" w:cs="Arial"/>
          <w:bCs/>
          <w:color w:val="FF0000"/>
        </w:rPr>
      </w:pPr>
      <w:r w:rsidRPr="00DB42DE">
        <w:rPr>
          <w:rFonts w:ascii="Arial" w:eastAsia="Calibri" w:hAnsi="Arial" w:cs="Arial"/>
          <w:color w:val="FF0000"/>
        </w:rPr>
        <w:t xml:space="preserve">Within 500 metre walking distance of </w:t>
      </w:r>
      <w:r w:rsidRPr="00DB42DE">
        <w:rPr>
          <w:rFonts w:ascii="Arial" w:eastAsia="Calibri" w:hAnsi="Arial" w:cs="Arial"/>
          <w:bCs/>
          <w:color w:val="FF0000"/>
        </w:rPr>
        <w:t>significant employment locations.</w:t>
      </w:r>
    </w:p>
    <w:p w14:paraId="48F54E5C" w14:textId="77777777" w:rsidR="005D4329" w:rsidRPr="00DB42DE" w:rsidRDefault="005D4329" w:rsidP="005D4329">
      <w:pPr>
        <w:pStyle w:val="Default"/>
        <w:numPr>
          <w:ilvl w:val="0"/>
          <w:numId w:val="18"/>
        </w:numPr>
        <w:spacing w:line="276" w:lineRule="auto"/>
        <w:rPr>
          <w:rFonts w:ascii="Arial" w:eastAsia="Calibri" w:hAnsi="Arial" w:cs="Arial"/>
          <w:bCs/>
          <w:color w:val="FF0000"/>
        </w:rPr>
      </w:pPr>
      <w:r w:rsidRPr="00DB42DE">
        <w:rPr>
          <w:rFonts w:ascii="Arial" w:eastAsia="Calibri" w:hAnsi="Arial" w:cs="Arial"/>
          <w:color w:val="FF0000"/>
        </w:rPr>
        <w:t xml:space="preserve">Within 500m of major public transport interchanges (e.g. Connolly Station, Tara Street Station and </w:t>
      </w:r>
      <w:proofErr w:type="spellStart"/>
      <w:r w:rsidRPr="00DB42DE">
        <w:rPr>
          <w:rFonts w:ascii="Arial" w:eastAsia="Calibri" w:hAnsi="Arial" w:cs="Arial"/>
          <w:color w:val="FF0000"/>
        </w:rPr>
        <w:t>Heuston</w:t>
      </w:r>
      <w:proofErr w:type="spellEnd"/>
      <w:r w:rsidRPr="00DB42DE">
        <w:rPr>
          <w:rFonts w:ascii="Arial" w:eastAsia="Calibri" w:hAnsi="Arial" w:cs="Arial"/>
          <w:color w:val="FF0000"/>
        </w:rPr>
        <w:t xml:space="preserve"> Station), and within identified Strategic Development Regenerations </w:t>
      </w:r>
      <w:r w:rsidRPr="00DB42DE">
        <w:rPr>
          <w:rFonts w:ascii="Arial" w:eastAsia="Calibri" w:hAnsi="Arial" w:cs="Arial"/>
          <w:bCs/>
          <w:color w:val="FF0000"/>
        </w:rPr>
        <w:t>Areas.</w:t>
      </w:r>
    </w:p>
    <w:p w14:paraId="05CC09E6" w14:textId="77777777" w:rsidR="005D4329" w:rsidRPr="00DB42DE" w:rsidRDefault="005D4329" w:rsidP="005D4329">
      <w:pPr>
        <w:pStyle w:val="Default"/>
        <w:spacing w:line="276" w:lineRule="auto"/>
        <w:rPr>
          <w:rFonts w:ascii="Arial" w:eastAsia="Calibri" w:hAnsi="Arial" w:cs="Arial"/>
          <w:bCs/>
          <w:color w:val="FF0000"/>
        </w:rPr>
      </w:pPr>
    </w:p>
    <w:p w14:paraId="7FA4744C" w14:textId="77777777" w:rsidR="005D4329" w:rsidRPr="00DB42DE" w:rsidRDefault="005D4329" w:rsidP="005D4329">
      <w:pPr>
        <w:pStyle w:val="Default"/>
        <w:spacing w:line="276" w:lineRule="auto"/>
        <w:rPr>
          <w:rFonts w:ascii="Arial" w:eastAsia="Calibri" w:hAnsi="Arial" w:cs="Arial"/>
          <w:color w:val="FF0000"/>
        </w:rPr>
      </w:pPr>
      <w:r w:rsidRPr="00DB42DE">
        <w:rPr>
          <w:rFonts w:ascii="Arial" w:eastAsia="Calibri" w:hAnsi="Arial" w:cs="Arial"/>
          <w:color w:val="FF0000"/>
        </w:rPr>
        <w:t xml:space="preserve">There will be a general presumption against large scale residential developments (in excess of 100 units) which comprise of 100% BTR typology. To ensure a sustainable mix of tenure and long-term sustainable communities, a minimum of </w:t>
      </w:r>
      <w:r w:rsidRPr="00DB42DE">
        <w:rPr>
          <w:rFonts w:ascii="Arial" w:eastAsia="Calibri" w:hAnsi="Arial" w:cs="Arial"/>
          <w:bCs/>
          <w:color w:val="FF0000"/>
        </w:rPr>
        <w:t xml:space="preserve">60% </w:t>
      </w:r>
      <w:r w:rsidRPr="00DB42DE">
        <w:rPr>
          <w:rFonts w:ascii="Arial" w:eastAsia="Calibri" w:hAnsi="Arial" w:cs="Arial"/>
          <w:color w:val="FF0000"/>
        </w:rPr>
        <w:t xml:space="preserve">of standard </w:t>
      </w:r>
      <w:r w:rsidRPr="00DB42DE">
        <w:rPr>
          <w:rFonts w:ascii="Arial" w:eastAsia="Calibri" w:hAnsi="Arial" w:cs="Arial"/>
          <w:bCs/>
          <w:color w:val="FF0000"/>
        </w:rPr>
        <w:t xml:space="preserve">designed </w:t>
      </w:r>
      <w:r w:rsidRPr="00DB42DE">
        <w:rPr>
          <w:rFonts w:ascii="Arial" w:eastAsia="Calibri" w:hAnsi="Arial" w:cs="Arial"/>
          <w:color w:val="FF0000"/>
        </w:rPr>
        <w:t>apartments will be required in such instances.</w:t>
      </w:r>
    </w:p>
    <w:p w14:paraId="630E8D34" w14:textId="77777777" w:rsidR="005D4329" w:rsidRPr="00DB42DE" w:rsidRDefault="005D4329" w:rsidP="005D4329">
      <w:pPr>
        <w:pStyle w:val="Default"/>
        <w:spacing w:line="276" w:lineRule="auto"/>
        <w:rPr>
          <w:rFonts w:ascii="Arial" w:hAnsi="Arial" w:cs="Arial"/>
          <w:color w:val="FF0000"/>
        </w:rPr>
      </w:pPr>
    </w:p>
    <w:p w14:paraId="404BFF00" w14:textId="77777777" w:rsidR="005D4329" w:rsidRPr="00DB42DE" w:rsidRDefault="005D4329" w:rsidP="005D4329">
      <w:pPr>
        <w:pStyle w:val="Default"/>
        <w:spacing w:line="276" w:lineRule="auto"/>
        <w:rPr>
          <w:rFonts w:ascii="Arial" w:eastAsia="Arial" w:hAnsi="Arial" w:cs="Arial"/>
          <w:bCs/>
          <w:color w:val="FF0000"/>
        </w:rPr>
      </w:pPr>
      <w:r w:rsidRPr="00DB42DE">
        <w:rPr>
          <w:rFonts w:ascii="Arial" w:eastAsia="Arial" w:hAnsi="Arial" w:cs="Arial"/>
          <w:bCs/>
          <w:color w:val="FF0000"/>
        </w:rPr>
        <w:t xml:space="preserve">Please refer to Policy </w:t>
      </w:r>
      <w:proofErr w:type="gramStart"/>
      <w:r w:rsidRPr="00DB42DE">
        <w:rPr>
          <w:rFonts w:ascii="Arial" w:eastAsia="Arial" w:hAnsi="Arial" w:cs="Arial"/>
          <w:bCs/>
          <w:color w:val="FF0000"/>
        </w:rPr>
        <w:t>QHSN40</w:t>
      </w:r>
      <w:r>
        <w:rPr>
          <w:rFonts w:ascii="Arial" w:eastAsia="Arial" w:hAnsi="Arial" w:cs="Arial"/>
          <w:bCs/>
          <w:color w:val="FF0000"/>
        </w:rPr>
        <w:t>(</w:t>
      </w:r>
      <w:proofErr w:type="gramEnd"/>
      <w:r>
        <w:rPr>
          <w:rFonts w:ascii="Arial" w:eastAsia="Arial" w:hAnsi="Arial" w:cs="Arial"/>
          <w:bCs/>
          <w:color w:val="FF0000"/>
        </w:rPr>
        <w:t>a)</w:t>
      </w:r>
      <w:r w:rsidRPr="00DB42DE">
        <w:rPr>
          <w:rFonts w:ascii="Arial" w:eastAsia="Arial" w:hAnsi="Arial" w:cs="Arial"/>
          <w:bCs/>
          <w:color w:val="FF0000"/>
        </w:rPr>
        <w:t xml:space="preserve"> above.</w:t>
      </w:r>
    </w:p>
    <w:p w14:paraId="3E82672F" w14:textId="77777777" w:rsidR="005D4329" w:rsidRPr="00DB42DE" w:rsidRDefault="005D4329" w:rsidP="005D4329">
      <w:pPr>
        <w:pStyle w:val="Default"/>
        <w:spacing w:line="276" w:lineRule="auto"/>
        <w:rPr>
          <w:rFonts w:ascii="Arial" w:hAnsi="Arial" w:cs="Arial"/>
          <w:color w:val="FF0000"/>
        </w:rPr>
      </w:pPr>
    </w:p>
    <w:p w14:paraId="2BBD5B27" w14:textId="77777777" w:rsidR="005D4329" w:rsidRPr="00DB42DE" w:rsidRDefault="005D4329" w:rsidP="005D4329">
      <w:pPr>
        <w:spacing w:after="0"/>
        <w:rPr>
          <w:rFonts w:ascii="Arial" w:hAnsi="Arial" w:cs="Arial"/>
          <w:color w:val="FF0000"/>
          <w:sz w:val="24"/>
          <w:szCs w:val="24"/>
        </w:rPr>
      </w:pPr>
      <w:r w:rsidRPr="00DB42DE">
        <w:rPr>
          <w:rFonts w:ascii="Arial" w:hAnsi="Arial" w:cs="Arial"/>
          <w:color w:val="FF0000"/>
          <w:sz w:val="24"/>
          <w:szCs w:val="24"/>
        </w:rPr>
        <w:t xml:space="preserve">Furthermore, whilst BTR is considered </w:t>
      </w:r>
      <w:proofErr w:type="gramStart"/>
      <w:r w:rsidRPr="00DB42DE">
        <w:rPr>
          <w:rFonts w:ascii="Arial" w:hAnsi="Arial" w:cs="Arial"/>
          <w:color w:val="FF0000"/>
          <w:sz w:val="24"/>
          <w:szCs w:val="24"/>
        </w:rPr>
        <w:t>to be an</w:t>
      </w:r>
      <w:proofErr w:type="gramEnd"/>
      <w:r w:rsidRPr="00DB42DE">
        <w:rPr>
          <w:rFonts w:ascii="Arial" w:hAnsi="Arial" w:cs="Arial"/>
          <w:color w:val="FF0000"/>
          <w:sz w:val="24"/>
          <w:szCs w:val="24"/>
        </w:rPr>
        <w:t xml:space="preserve"> integral part in achieving an appropriate mix of housing in the right locations, there will be a presumption against the proliferation and over concentration of Build to R</w:t>
      </w:r>
      <w:r>
        <w:rPr>
          <w:rFonts w:ascii="Arial" w:hAnsi="Arial" w:cs="Arial"/>
          <w:color w:val="FF0000"/>
          <w:sz w:val="24"/>
          <w:szCs w:val="24"/>
        </w:rPr>
        <w:t xml:space="preserve">ent development in any one area.  </w:t>
      </w:r>
      <w:r w:rsidRPr="00DB42DE">
        <w:rPr>
          <w:rFonts w:ascii="Arial" w:hAnsi="Arial" w:cs="Arial"/>
          <w:color w:val="FF0000"/>
          <w:sz w:val="24"/>
          <w:szCs w:val="24"/>
        </w:rPr>
        <w:t xml:space="preserve">Applications for “Build to Rent” developments should be accompanied by an assessment of other permitted </w:t>
      </w:r>
      <w:r w:rsidRPr="00DB42DE">
        <w:rPr>
          <w:rFonts w:ascii="Arial" w:hAnsi="Arial" w:cs="Arial"/>
          <w:bCs/>
          <w:color w:val="FF0000"/>
          <w:sz w:val="24"/>
          <w:szCs w:val="24"/>
        </w:rPr>
        <w:t xml:space="preserve">and proposed </w:t>
      </w:r>
      <w:r w:rsidRPr="00DB42DE">
        <w:rPr>
          <w:rFonts w:ascii="Arial" w:hAnsi="Arial" w:cs="Arial"/>
          <w:color w:val="FF0000"/>
          <w:sz w:val="24"/>
          <w:szCs w:val="24"/>
        </w:rPr>
        <w:t xml:space="preserve">BTR developments </w:t>
      </w:r>
      <w:r w:rsidRPr="00DB42DE">
        <w:rPr>
          <w:rFonts w:ascii="Arial" w:hAnsi="Arial" w:cs="Arial"/>
          <w:bCs/>
          <w:color w:val="FF0000"/>
          <w:sz w:val="24"/>
          <w:szCs w:val="24"/>
        </w:rPr>
        <w:t xml:space="preserve">within a 1km radius </w:t>
      </w:r>
      <w:r w:rsidRPr="00DB42DE">
        <w:rPr>
          <w:rFonts w:ascii="Arial" w:hAnsi="Arial" w:cs="Arial"/>
          <w:color w:val="FF0000"/>
          <w:sz w:val="24"/>
          <w:szCs w:val="24"/>
        </w:rPr>
        <w:t xml:space="preserve">of the site to demonstrate: </w:t>
      </w:r>
    </w:p>
    <w:p w14:paraId="1A5EC249" w14:textId="77777777" w:rsidR="005D4329" w:rsidRPr="00DB42DE" w:rsidRDefault="005D4329" w:rsidP="005D4329">
      <w:pPr>
        <w:spacing w:after="0"/>
        <w:rPr>
          <w:rFonts w:ascii="Arial" w:hAnsi="Arial" w:cs="Arial"/>
          <w:color w:val="FF0000"/>
          <w:sz w:val="24"/>
          <w:szCs w:val="24"/>
        </w:rPr>
      </w:pPr>
    </w:p>
    <w:p w14:paraId="40501933" w14:textId="77777777" w:rsidR="005D4329" w:rsidRPr="00DB42DE" w:rsidRDefault="005D4329" w:rsidP="005D4329">
      <w:pPr>
        <w:pStyle w:val="ListParagraph"/>
        <w:numPr>
          <w:ilvl w:val="0"/>
          <w:numId w:val="19"/>
        </w:numPr>
        <w:spacing w:line="276" w:lineRule="auto"/>
        <w:contextualSpacing/>
        <w:rPr>
          <w:rFonts w:ascii="Arial" w:hAnsi="Arial" w:cs="Arial"/>
          <w:color w:val="FF0000"/>
        </w:rPr>
      </w:pPr>
      <w:proofErr w:type="gramStart"/>
      <w:r w:rsidRPr="00DB42DE">
        <w:rPr>
          <w:rFonts w:ascii="Arial" w:hAnsi="Arial" w:cs="Arial"/>
          <w:color w:val="FF0000"/>
        </w:rPr>
        <w:t>that</w:t>
      </w:r>
      <w:proofErr w:type="gramEnd"/>
      <w:r w:rsidRPr="00DB42DE">
        <w:rPr>
          <w:rFonts w:ascii="Arial" w:hAnsi="Arial" w:cs="Arial"/>
          <w:color w:val="FF0000"/>
        </w:rPr>
        <w:t xml:space="preserve"> the development would not result in the over concentration of one housing tenure in a particular area. </w:t>
      </w:r>
    </w:p>
    <w:p w14:paraId="5BE39996" w14:textId="77777777" w:rsidR="005D4329" w:rsidRPr="00DB42DE" w:rsidRDefault="005D4329" w:rsidP="005D4329">
      <w:pPr>
        <w:pStyle w:val="ListParagraph"/>
        <w:numPr>
          <w:ilvl w:val="0"/>
          <w:numId w:val="19"/>
        </w:numPr>
        <w:spacing w:line="276" w:lineRule="auto"/>
        <w:contextualSpacing/>
        <w:rPr>
          <w:rFonts w:ascii="Arial" w:eastAsia="Arial" w:hAnsi="Arial" w:cs="Arial"/>
          <w:bCs/>
          <w:color w:val="FF0000"/>
        </w:rPr>
      </w:pPr>
      <w:proofErr w:type="gramStart"/>
      <w:r w:rsidRPr="00DB42DE">
        <w:rPr>
          <w:rFonts w:ascii="Arial" w:hAnsi="Arial" w:cs="Arial"/>
          <w:bCs/>
          <w:color w:val="FF0000"/>
        </w:rPr>
        <w:t>how</w:t>
      </w:r>
      <w:proofErr w:type="gramEnd"/>
      <w:r w:rsidRPr="00DB42DE">
        <w:rPr>
          <w:rFonts w:ascii="Arial" w:hAnsi="Arial" w:cs="Arial"/>
          <w:bCs/>
          <w:color w:val="FF0000"/>
        </w:rPr>
        <w:t xml:space="preserve"> the development supports housing need, particularly with regard to tenure, unit size and accessibility with particular reference to the Dublin City Council Housing Need and Demand Assessment.</w:t>
      </w:r>
    </w:p>
    <w:p w14:paraId="4587E416" w14:textId="77777777" w:rsidR="005D4329" w:rsidRPr="00DB42DE" w:rsidRDefault="005D4329" w:rsidP="005D4329">
      <w:pPr>
        <w:pStyle w:val="Heading3"/>
        <w:rPr>
          <w:rFonts w:ascii="Arial" w:hAnsi="Arial" w:cs="Arial"/>
          <w:color w:val="FF0000"/>
        </w:rPr>
      </w:pPr>
    </w:p>
    <w:p w14:paraId="0945FC9B" w14:textId="77777777" w:rsidR="005D4329" w:rsidRPr="00DB42DE" w:rsidRDefault="005D4329" w:rsidP="005D4329">
      <w:pPr>
        <w:pStyle w:val="Heading3"/>
        <w:rPr>
          <w:rFonts w:ascii="Arial" w:hAnsi="Arial" w:cs="Arial"/>
          <w:color w:val="FF0000"/>
        </w:rPr>
      </w:pPr>
      <w:r w:rsidRPr="00DB42DE">
        <w:rPr>
          <w:rFonts w:ascii="Arial" w:hAnsi="Arial" w:cs="Arial"/>
          <w:color w:val="FF0000"/>
        </w:rPr>
        <w:t>3.3.2</w:t>
      </w:r>
      <w:r w:rsidRPr="00DB42DE">
        <w:rPr>
          <w:rFonts w:ascii="Arial" w:hAnsi="Arial" w:cs="Arial"/>
          <w:color w:val="FF0000"/>
        </w:rPr>
        <w:tab/>
        <w:t xml:space="preserve">Design Standards </w:t>
      </w:r>
    </w:p>
    <w:p w14:paraId="5CF88D44"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The Sustainable Urban Development Design Standards for New Apartments set out specific planning policy requirements for “Build to Rent” developments. SPPR7 refers to the provision of resident support facilities (laundry, concierge, management facilities etc.) and resident services and amenities (sports facilities, resident lounge, function rooms, co-working spaces etc.).</w:t>
      </w:r>
    </w:p>
    <w:p w14:paraId="46504411"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 xml:space="preserve">Whist the guidelines do not provide for a quantitative standard residential support facilities and resident services and amenities, a general guideline of 3 sq. m. per person is recommended. This will be assessed on a case by case basis where the applicant can demonstrate a high standard of services and facilities. </w:t>
      </w:r>
    </w:p>
    <w:p w14:paraId="10501C44"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lastRenderedPageBreak/>
        <w:t xml:space="preserve">SPPR8 refers to specific relaxations that can be applied to BTR scheme which differentiate BTR schemes from standard residential developments. </w:t>
      </w:r>
    </w:p>
    <w:p w14:paraId="6C59193E"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 xml:space="preserve">SPPR8 (ii) states that flexibility can be applied to the provision of storage space, private amenity space and communal space within a scheme at the discretion of the planning authority. </w:t>
      </w:r>
    </w:p>
    <w:p w14:paraId="312A56BC"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 xml:space="preserve">There is a general presumption against excessive derogation of these requirements, in particular, private amenity space. Where derogations of private amenity space are sought, there will be an onus on the applicant to demonstrate that the quality of the unit is of a higher standard, e.g. in excess of the minimum floor area, contains unique design features and that the loss/reduction of private amenity is compensated within the communal amenity provision, e.g. if a unit requires 5 sq. m. of private amenity space, this quantum should be offset to provide for an additional 5 sq. m. communal amenity space. </w:t>
      </w:r>
    </w:p>
    <w:p w14:paraId="404E43D6"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 xml:space="preserve">Dublin City Council will seek to ensure a high level of amenity is provided within BTR schemes. All applications should seek to demonstrate compliance with the relevant standards for storage, private and communal open space as set out in Appendix 1 of the Sustainable Urban Housing: Design Standards for New Apartments. </w:t>
      </w:r>
    </w:p>
    <w:p w14:paraId="158D44E8" w14:textId="77777777" w:rsidR="005D4329" w:rsidRPr="00DB42DE" w:rsidRDefault="005D4329" w:rsidP="005D4329">
      <w:pPr>
        <w:rPr>
          <w:rFonts w:ascii="Arial" w:hAnsi="Arial" w:cs="Arial"/>
          <w:color w:val="FF0000"/>
          <w:sz w:val="24"/>
          <w:szCs w:val="24"/>
        </w:rPr>
      </w:pPr>
      <w:r w:rsidRPr="00DB42DE">
        <w:rPr>
          <w:rFonts w:ascii="Arial" w:hAnsi="Arial" w:cs="Arial"/>
          <w:color w:val="FF0000"/>
          <w:sz w:val="24"/>
          <w:szCs w:val="24"/>
        </w:rPr>
        <w:t>In all cases, the onus will be on the project proposer to demonstrate the overall quality of the facilities provided and that residents will enjoy an enhanced overall standard of amenity.</w:t>
      </w:r>
    </w:p>
    <w:p w14:paraId="67993BCA" w14:textId="77777777" w:rsidR="005D4329" w:rsidRPr="00DB42DE" w:rsidRDefault="005D4329" w:rsidP="005D4329">
      <w:pPr>
        <w:pStyle w:val="Heading3"/>
        <w:rPr>
          <w:rFonts w:ascii="Arial" w:hAnsi="Arial" w:cs="Arial"/>
          <w:color w:val="FF0000"/>
        </w:rPr>
      </w:pPr>
      <w:r w:rsidRPr="00DB42DE">
        <w:rPr>
          <w:rFonts w:ascii="Arial" w:hAnsi="Arial" w:cs="Arial"/>
          <w:color w:val="FF0000"/>
        </w:rPr>
        <w:t>3.3.3</w:t>
      </w:r>
      <w:r w:rsidRPr="00DB42DE">
        <w:rPr>
          <w:rFonts w:ascii="Arial" w:hAnsi="Arial" w:cs="Arial"/>
          <w:color w:val="FF0000"/>
        </w:rPr>
        <w:tab/>
        <w:t>Communal and Public Open Space</w:t>
      </w:r>
    </w:p>
    <w:p w14:paraId="7C97A778" w14:textId="77777777" w:rsidR="005D4329" w:rsidRPr="00DB42DE" w:rsidRDefault="005D4329" w:rsidP="005D4329">
      <w:pPr>
        <w:rPr>
          <w:rFonts w:ascii="Arial" w:hAnsi="Arial" w:cs="Arial"/>
          <w:color w:val="FF0000"/>
          <w:sz w:val="24"/>
          <w:szCs w:val="24"/>
        </w:rPr>
      </w:pPr>
      <w:r>
        <w:rPr>
          <w:rFonts w:ascii="Arial" w:hAnsi="Arial" w:cs="Arial"/>
          <w:color w:val="FF0000"/>
          <w:sz w:val="24"/>
          <w:szCs w:val="24"/>
        </w:rPr>
        <w:t>All Build</w:t>
      </w:r>
      <w:r w:rsidRPr="00DB42DE">
        <w:rPr>
          <w:rFonts w:ascii="Arial" w:hAnsi="Arial" w:cs="Arial"/>
          <w:color w:val="FF0000"/>
          <w:sz w:val="24"/>
          <w:szCs w:val="24"/>
        </w:rPr>
        <w:t xml:space="preserve"> to Rent developments will be required to provide for the same quantum of external communal open space and public open space as set out for standard apartment developments, see Section 15.6.12 and 15.8.6.</w:t>
      </w:r>
    </w:p>
    <w:p w14:paraId="1EE41556" w14:textId="77777777" w:rsidR="005D4329" w:rsidRPr="001D36F6" w:rsidRDefault="005D4329" w:rsidP="00FE5FD3">
      <w:pPr>
        <w:spacing w:after="0" w:line="240" w:lineRule="auto"/>
        <w:jc w:val="both"/>
        <w:rPr>
          <w:rFonts w:ascii="Arial" w:eastAsia="Times New Roman" w:hAnsi="Arial" w:cs="Arial"/>
          <w:lang w:val="en-GB"/>
        </w:rPr>
      </w:pPr>
    </w:p>
    <w:sectPr w:rsidR="005D4329" w:rsidRPr="001D3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855"/>
    <w:multiLevelType w:val="hybridMultilevel"/>
    <w:tmpl w:val="FFB467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F7D5B"/>
    <w:multiLevelType w:val="hybridMultilevel"/>
    <w:tmpl w:val="DBDACAB8"/>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CFC5A68"/>
    <w:multiLevelType w:val="hybridMultilevel"/>
    <w:tmpl w:val="42ECDB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FE62C1A"/>
    <w:multiLevelType w:val="hybridMultilevel"/>
    <w:tmpl w:val="4AA612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567194F"/>
    <w:multiLevelType w:val="hybridMultilevel"/>
    <w:tmpl w:val="6510B788"/>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4C7DE5"/>
    <w:multiLevelType w:val="hybridMultilevel"/>
    <w:tmpl w:val="D7902E9A"/>
    <w:lvl w:ilvl="0" w:tplc="1012CC1C">
      <w:start w:val="1"/>
      <w:numFmt w:val="bullet"/>
      <w:lvlText w:val=""/>
      <w:lvlJc w:val="left"/>
      <w:pPr>
        <w:ind w:left="753" w:hanging="360"/>
      </w:pPr>
      <w:rPr>
        <w:rFonts w:ascii="Wingdings" w:hAnsi="Wingdings" w:hint="default"/>
        <w:color w:val="0070C0"/>
        <w:sz w:val="20"/>
        <w:szCs w:val="20"/>
        <w:u w:color="595959" w:themeColor="text1" w:themeTint="A6"/>
      </w:rPr>
    </w:lvl>
    <w:lvl w:ilvl="1" w:tplc="18090003">
      <w:start w:val="1"/>
      <w:numFmt w:val="bullet"/>
      <w:lvlText w:val="o"/>
      <w:lvlJc w:val="left"/>
      <w:pPr>
        <w:ind w:left="1473" w:hanging="360"/>
      </w:pPr>
      <w:rPr>
        <w:rFonts w:ascii="Courier New" w:hAnsi="Courier New" w:cs="Courier New" w:hint="default"/>
      </w:rPr>
    </w:lvl>
    <w:lvl w:ilvl="2" w:tplc="18090005" w:tentative="1">
      <w:start w:val="1"/>
      <w:numFmt w:val="bullet"/>
      <w:lvlText w:val=""/>
      <w:lvlJc w:val="left"/>
      <w:pPr>
        <w:ind w:left="2193" w:hanging="360"/>
      </w:pPr>
      <w:rPr>
        <w:rFonts w:ascii="Wingdings" w:hAnsi="Wingdings" w:hint="default"/>
      </w:rPr>
    </w:lvl>
    <w:lvl w:ilvl="3" w:tplc="18090001" w:tentative="1">
      <w:start w:val="1"/>
      <w:numFmt w:val="bullet"/>
      <w:lvlText w:val=""/>
      <w:lvlJc w:val="left"/>
      <w:pPr>
        <w:ind w:left="2913" w:hanging="360"/>
      </w:pPr>
      <w:rPr>
        <w:rFonts w:ascii="Symbol" w:hAnsi="Symbol" w:hint="default"/>
      </w:rPr>
    </w:lvl>
    <w:lvl w:ilvl="4" w:tplc="18090003" w:tentative="1">
      <w:start w:val="1"/>
      <w:numFmt w:val="bullet"/>
      <w:lvlText w:val="o"/>
      <w:lvlJc w:val="left"/>
      <w:pPr>
        <w:ind w:left="3633" w:hanging="360"/>
      </w:pPr>
      <w:rPr>
        <w:rFonts w:ascii="Courier New" w:hAnsi="Courier New" w:cs="Courier New" w:hint="default"/>
      </w:rPr>
    </w:lvl>
    <w:lvl w:ilvl="5" w:tplc="18090005" w:tentative="1">
      <w:start w:val="1"/>
      <w:numFmt w:val="bullet"/>
      <w:lvlText w:val=""/>
      <w:lvlJc w:val="left"/>
      <w:pPr>
        <w:ind w:left="4353" w:hanging="360"/>
      </w:pPr>
      <w:rPr>
        <w:rFonts w:ascii="Wingdings" w:hAnsi="Wingdings" w:hint="default"/>
      </w:rPr>
    </w:lvl>
    <w:lvl w:ilvl="6" w:tplc="18090001" w:tentative="1">
      <w:start w:val="1"/>
      <w:numFmt w:val="bullet"/>
      <w:lvlText w:val=""/>
      <w:lvlJc w:val="left"/>
      <w:pPr>
        <w:ind w:left="5073" w:hanging="360"/>
      </w:pPr>
      <w:rPr>
        <w:rFonts w:ascii="Symbol" w:hAnsi="Symbol" w:hint="default"/>
      </w:rPr>
    </w:lvl>
    <w:lvl w:ilvl="7" w:tplc="18090003" w:tentative="1">
      <w:start w:val="1"/>
      <w:numFmt w:val="bullet"/>
      <w:lvlText w:val="o"/>
      <w:lvlJc w:val="left"/>
      <w:pPr>
        <w:ind w:left="5793" w:hanging="360"/>
      </w:pPr>
      <w:rPr>
        <w:rFonts w:ascii="Courier New" w:hAnsi="Courier New" w:cs="Courier New" w:hint="default"/>
      </w:rPr>
    </w:lvl>
    <w:lvl w:ilvl="8" w:tplc="18090005" w:tentative="1">
      <w:start w:val="1"/>
      <w:numFmt w:val="bullet"/>
      <w:lvlText w:val=""/>
      <w:lvlJc w:val="left"/>
      <w:pPr>
        <w:ind w:left="6513" w:hanging="360"/>
      </w:pPr>
      <w:rPr>
        <w:rFonts w:ascii="Wingdings" w:hAnsi="Wingdings" w:hint="default"/>
      </w:rPr>
    </w:lvl>
  </w:abstractNum>
  <w:abstractNum w:abstractNumId="6" w15:restartNumberingAfterBreak="0">
    <w:nsid w:val="2E34469C"/>
    <w:multiLevelType w:val="hybridMultilevel"/>
    <w:tmpl w:val="1C6EF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E5752C"/>
    <w:multiLevelType w:val="hybridMultilevel"/>
    <w:tmpl w:val="1A6AC4C2"/>
    <w:lvl w:ilvl="0" w:tplc="9F12EB7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31CA3DE6"/>
    <w:multiLevelType w:val="hybridMultilevel"/>
    <w:tmpl w:val="9580F224"/>
    <w:lvl w:ilvl="0" w:tplc="1A6C12D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E17480E"/>
    <w:multiLevelType w:val="multilevel"/>
    <w:tmpl w:val="E61435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539DB"/>
    <w:multiLevelType w:val="multilevel"/>
    <w:tmpl w:val="ADDC48C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1" w15:restartNumberingAfterBreak="0">
    <w:nsid w:val="45C90149"/>
    <w:multiLevelType w:val="hybridMultilevel"/>
    <w:tmpl w:val="11DED34E"/>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1711DEE"/>
    <w:multiLevelType w:val="hybridMultilevel"/>
    <w:tmpl w:val="C7FA6B3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FDC48DC"/>
    <w:multiLevelType w:val="hybridMultilevel"/>
    <w:tmpl w:val="C74C6B5A"/>
    <w:lvl w:ilvl="0" w:tplc="C400DA1A">
      <w:start w:val="1"/>
      <w:numFmt w:val="decimal"/>
      <w:lvlText w:val="%1."/>
      <w:lvlJc w:val="left"/>
      <w:pPr>
        <w:ind w:left="720" w:hanging="360"/>
      </w:pPr>
      <w:rPr>
        <w:rFonts w:ascii="Arial" w:hAnsi="Arial" w:cs="Arial" w:hint="default"/>
        <w:b/>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EE7F44"/>
    <w:multiLevelType w:val="multilevel"/>
    <w:tmpl w:val="4DFC4546"/>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15" w15:restartNumberingAfterBreak="0">
    <w:nsid w:val="6E6616BC"/>
    <w:multiLevelType w:val="hybridMultilevel"/>
    <w:tmpl w:val="C1D6A41A"/>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D991A80"/>
    <w:multiLevelType w:val="hybridMultilevel"/>
    <w:tmpl w:val="CD98C73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DAE589C"/>
    <w:multiLevelType w:val="multilevel"/>
    <w:tmpl w:val="3CD41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C11350"/>
    <w:multiLevelType w:val="multilevel"/>
    <w:tmpl w:val="449203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3"/>
  </w:num>
  <w:num w:numId="2">
    <w:abstractNumId w:val="17"/>
  </w:num>
  <w:num w:numId="3">
    <w:abstractNumId w:val="8"/>
  </w:num>
  <w:num w:numId="4">
    <w:abstractNumId w:val="18"/>
  </w:num>
  <w:num w:numId="5">
    <w:abstractNumId w:val="10"/>
  </w:num>
  <w:num w:numId="6">
    <w:abstractNumId w:val="4"/>
  </w:num>
  <w:num w:numId="7">
    <w:abstractNumId w:val="14"/>
  </w:num>
  <w:num w:numId="8">
    <w:abstractNumId w:val="16"/>
  </w:num>
  <w:num w:numId="9">
    <w:abstractNumId w:val="1"/>
  </w:num>
  <w:num w:numId="10">
    <w:abstractNumId w:val="5"/>
  </w:num>
  <w:num w:numId="11">
    <w:abstractNumId w:val="9"/>
  </w:num>
  <w:num w:numId="12">
    <w:abstractNumId w:val="7"/>
  </w:num>
  <w:num w:numId="13">
    <w:abstractNumId w:val="0"/>
  </w:num>
  <w:num w:numId="14">
    <w:abstractNumId w:val="6"/>
  </w:num>
  <w:num w:numId="15">
    <w:abstractNumId w:val="15"/>
  </w:num>
  <w:num w:numId="16">
    <w:abstractNumId w:val="12"/>
  </w:num>
  <w:num w:numId="17">
    <w:abstractNumId w:val="11"/>
  </w:num>
  <w:num w:numId="18">
    <w:abstractNumId w:val="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526"/>
    <w:rsid w:val="00004497"/>
    <w:rsid w:val="000147EB"/>
    <w:rsid w:val="00076913"/>
    <w:rsid w:val="000929FE"/>
    <w:rsid w:val="000E0DD6"/>
    <w:rsid w:val="000F3D57"/>
    <w:rsid w:val="00115C26"/>
    <w:rsid w:val="00120A8E"/>
    <w:rsid w:val="0012340C"/>
    <w:rsid w:val="00145B21"/>
    <w:rsid w:val="00153266"/>
    <w:rsid w:val="00154B42"/>
    <w:rsid w:val="001947C8"/>
    <w:rsid w:val="001973F0"/>
    <w:rsid w:val="001B4D37"/>
    <w:rsid w:val="001C5F22"/>
    <w:rsid w:val="001E3D13"/>
    <w:rsid w:val="002413B8"/>
    <w:rsid w:val="002808CC"/>
    <w:rsid w:val="00293FDC"/>
    <w:rsid w:val="002B259E"/>
    <w:rsid w:val="00334A60"/>
    <w:rsid w:val="003478F9"/>
    <w:rsid w:val="00371526"/>
    <w:rsid w:val="00371F6C"/>
    <w:rsid w:val="00381A4D"/>
    <w:rsid w:val="00386E86"/>
    <w:rsid w:val="003B08A5"/>
    <w:rsid w:val="003D702F"/>
    <w:rsid w:val="003D78EB"/>
    <w:rsid w:val="003F7719"/>
    <w:rsid w:val="00432EAB"/>
    <w:rsid w:val="00463233"/>
    <w:rsid w:val="00480989"/>
    <w:rsid w:val="00492EF8"/>
    <w:rsid w:val="00495CE2"/>
    <w:rsid w:val="00512796"/>
    <w:rsid w:val="00520149"/>
    <w:rsid w:val="00527524"/>
    <w:rsid w:val="00540416"/>
    <w:rsid w:val="005430F9"/>
    <w:rsid w:val="0055687D"/>
    <w:rsid w:val="005702EF"/>
    <w:rsid w:val="00593FDA"/>
    <w:rsid w:val="005A3601"/>
    <w:rsid w:val="005C5687"/>
    <w:rsid w:val="005D4329"/>
    <w:rsid w:val="005E11BA"/>
    <w:rsid w:val="005F1149"/>
    <w:rsid w:val="005F205E"/>
    <w:rsid w:val="005F605D"/>
    <w:rsid w:val="00617210"/>
    <w:rsid w:val="00623B17"/>
    <w:rsid w:val="0063143D"/>
    <w:rsid w:val="006352F8"/>
    <w:rsid w:val="00635F2B"/>
    <w:rsid w:val="00640A3F"/>
    <w:rsid w:val="00642C8D"/>
    <w:rsid w:val="006A47B2"/>
    <w:rsid w:val="006C737A"/>
    <w:rsid w:val="006E6EDD"/>
    <w:rsid w:val="006F2559"/>
    <w:rsid w:val="006F7656"/>
    <w:rsid w:val="00701775"/>
    <w:rsid w:val="0070223A"/>
    <w:rsid w:val="0074286E"/>
    <w:rsid w:val="00764E07"/>
    <w:rsid w:val="00795FB8"/>
    <w:rsid w:val="00817EC0"/>
    <w:rsid w:val="00861B68"/>
    <w:rsid w:val="008761FC"/>
    <w:rsid w:val="008835E6"/>
    <w:rsid w:val="008B2B5A"/>
    <w:rsid w:val="008C182A"/>
    <w:rsid w:val="008D11DD"/>
    <w:rsid w:val="008D18A0"/>
    <w:rsid w:val="008D5ECE"/>
    <w:rsid w:val="0091361B"/>
    <w:rsid w:val="00937E97"/>
    <w:rsid w:val="0094055E"/>
    <w:rsid w:val="00956A83"/>
    <w:rsid w:val="00960653"/>
    <w:rsid w:val="00963B60"/>
    <w:rsid w:val="0098359B"/>
    <w:rsid w:val="009922F4"/>
    <w:rsid w:val="00994A3B"/>
    <w:rsid w:val="009962AF"/>
    <w:rsid w:val="009A019A"/>
    <w:rsid w:val="009C1476"/>
    <w:rsid w:val="009C608B"/>
    <w:rsid w:val="009F7F8E"/>
    <w:rsid w:val="00A006F7"/>
    <w:rsid w:val="00A41CD8"/>
    <w:rsid w:val="00A53E90"/>
    <w:rsid w:val="00A60C5C"/>
    <w:rsid w:val="00AA2892"/>
    <w:rsid w:val="00B23D81"/>
    <w:rsid w:val="00B337C9"/>
    <w:rsid w:val="00BC0EBE"/>
    <w:rsid w:val="00BD1900"/>
    <w:rsid w:val="00C61CA9"/>
    <w:rsid w:val="00C80A9E"/>
    <w:rsid w:val="00C8312A"/>
    <w:rsid w:val="00CB3ED0"/>
    <w:rsid w:val="00CC190D"/>
    <w:rsid w:val="00CF3515"/>
    <w:rsid w:val="00D400F9"/>
    <w:rsid w:val="00D4702F"/>
    <w:rsid w:val="00DC7B3E"/>
    <w:rsid w:val="00DF63A5"/>
    <w:rsid w:val="00DF6DA3"/>
    <w:rsid w:val="00E64B9C"/>
    <w:rsid w:val="00EC342C"/>
    <w:rsid w:val="00ED2579"/>
    <w:rsid w:val="00EF6BC2"/>
    <w:rsid w:val="00F17E74"/>
    <w:rsid w:val="00F3336D"/>
    <w:rsid w:val="00F43B1A"/>
    <w:rsid w:val="00F53AC8"/>
    <w:rsid w:val="00FC69FD"/>
    <w:rsid w:val="00FD3C0B"/>
    <w:rsid w:val="00FE27C8"/>
    <w:rsid w:val="00FE5FD3"/>
    <w:rsid w:val="00FE6CF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90CF"/>
  <w15:chartTrackingRefBased/>
  <w15:docId w15:val="{01A69A55-9AF8-4D5C-80A9-44D1AECF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FD3"/>
  </w:style>
  <w:style w:type="paragraph" w:styleId="Heading2">
    <w:name w:val="heading 2"/>
    <w:basedOn w:val="Normal"/>
    <w:next w:val="Normal"/>
    <w:link w:val="Heading2Char"/>
    <w:uiPriority w:val="9"/>
    <w:semiHidden/>
    <w:unhideWhenUsed/>
    <w:qFormat/>
    <w:rsid w:val="005D4329"/>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D4329"/>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D4329"/>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5D4329"/>
    <w:pPr>
      <w:keepNext/>
      <w:keepLines/>
      <w:spacing w:before="40" w:after="0" w:line="276" w:lineRule="auto"/>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FE5FD3"/>
    <w:rPr>
      <w:color w:val="0563C1" w:themeColor="hyperlink"/>
      <w:u w:val="single"/>
    </w:rPr>
  </w:style>
  <w:style w:type="paragraph" w:customStyle="1" w:styleId="ListParagraph1">
    <w:name w:val="List Paragraph1"/>
    <w:basedOn w:val="Normal"/>
    <w:uiPriority w:val="1"/>
    <w:qFormat/>
    <w:rsid w:val="00FE5FD3"/>
    <w:pPr>
      <w:ind w:left="720"/>
      <w:contextualSpacing/>
    </w:pPr>
    <w:rPr>
      <w:rFonts w:ascii="Calibri" w:eastAsia="Calibri" w:hAnsi="Calibri" w:cs="Times New Roman"/>
    </w:rPr>
  </w:style>
  <w:style w:type="paragraph" w:customStyle="1" w:styleId="Default">
    <w:name w:val="Default"/>
    <w:rsid w:val="00FE5FD3"/>
    <w:pPr>
      <w:autoSpaceDE w:val="0"/>
      <w:autoSpaceDN w:val="0"/>
      <w:adjustRightInd w:val="0"/>
      <w:spacing w:after="0" w:line="240" w:lineRule="auto"/>
    </w:pPr>
    <w:rPr>
      <w:rFonts w:ascii="Calibri" w:hAnsi="Calibri" w:cs="Calibri"/>
      <w:color w:val="000000"/>
      <w:sz w:val="24"/>
      <w:szCs w:val="24"/>
    </w:rPr>
  </w:style>
  <w:style w:type="character" w:customStyle="1" w:styleId="fontstyle01">
    <w:name w:val="fontstyle01"/>
    <w:rsid w:val="00593FDA"/>
    <w:rPr>
      <w:rFonts w:ascii="Arial" w:hAnsi="Arial" w:cs="Arial" w:hint="default"/>
      <w:b/>
      <w:bCs/>
      <w:i w:val="0"/>
      <w:iCs w:val="0"/>
      <w:color w:val="000000"/>
      <w:sz w:val="22"/>
      <w:szCs w:val="22"/>
    </w:rPr>
  </w:style>
  <w:style w:type="paragraph" w:styleId="BodyText2">
    <w:name w:val="Body Text 2"/>
    <w:basedOn w:val="Normal"/>
    <w:link w:val="BodyText2Char"/>
    <w:semiHidden/>
    <w:rsid w:val="00F53AC8"/>
    <w:pPr>
      <w:spacing w:after="0" w:line="240" w:lineRule="auto"/>
      <w:jc w:val="both"/>
    </w:pPr>
    <w:rPr>
      <w:rFonts w:ascii="Times New Roman" w:eastAsia="Times New Roman" w:hAnsi="Times New Roman" w:cs="Times New Roman"/>
      <w:sz w:val="20"/>
      <w:szCs w:val="24"/>
      <w:lang w:val="en-GB"/>
    </w:rPr>
  </w:style>
  <w:style w:type="character" w:customStyle="1" w:styleId="BodyText2Char">
    <w:name w:val="Body Text 2 Char"/>
    <w:basedOn w:val="DefaultParagraphFont"/>
    <w:link w:val="BodyText2"/>
    <w:semiHidden/>
    <w:rsid w:val="00F53AC8"/>
    <w:rPr>
      <w:rFonts w:ascii="Times New Roman" w:eastAsia="Times New Roman" w:hAnsi="Times New Roman" w:cs="Times New Roman"/>
      <w:sz w:val="20"/>
      <w:szCs w:val="24"/>
      <w:lang w:val="en-GB"/>
    </w:rPr>
  </w:style>
  <w:style w:type="paragraph" w:styleId="ListParagraph">
    <w:name w:val="List Paragraph"/>
    <w:aliases w:val="Subtitle Cover Page"/>
    <w:basedOn w:val="Normal"/>
    <w:link w:val="ListParagraphChar"/>
    <w:uiPriority w:val="34"/>
    <w:qFormat/>
    <w:rsid w:val="00F53AC8"/>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Subtitle Cover Page Char"/>
    <w:link w:val="ListParagraph"/>
    <w:rsid w:val="00F53AC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D3C0B"/>
    <w:rPr>
      <w:sz w:val="16"/>
      <w:szCs w:val="16"/>
    </w:rPr>
  </w:style>
  <w:style w:type="paragraph" w:styleId="CommentText">
    <w:name w:val="annotation text"/>
    <w:basedOn w:val="Normal"/>
    <w:link w:val="CommentTextChar"/>
    <w:uiPriority w:val="99"/>
    <w:semiHidden/>
    <w:unhideWhenUsed/>
    <w:rsid w:val="00FD3C0B"/>
    <w:pPr>
      <w:spacing w:line="240" w:lineRule="auto"/>
    </w:pPr>
    <w:rPr>
      <w:sz w:val="20"/>
      <w:szCs w:val="20"/>
    </w:rPr>
  </w:style>
  <w:style w:type="character" w:customStyle="1" w:styleId="CommentTextChar">
    <w:name w:val="Comment Text Char"/>
    <w:basedOn w:val="DefaultParagraphFont"/>
    <w:link w:val="CommentText"/>
    <w:uiPriority w:val="99"/>
    <w:semiHidden/>
    <w:rsid w:val="00FD3C0B"/>
    <w:rPr>
      <w:sz w:val="20"/>
      <w:szCs w:val="20"/>
    </w:rPr>
  </w:style>
  <w:style w:type="paragraph" w:styleId="CommentSubject">
    <w:name w:val="annotation subject"/>
    <w:basedOn w:val="CommentText"/>
    <w:next w:val="CommentText"/>
    <w:link w:val="CommentSubjectChar"/>
    <w:uiPriority w:val="99"/>
    <w:semiHidden/>
    <w:unhideWhenUsed/>
    <w:rsid w:val="00FD3C0B"/>
    <w:rPr>
      <w:b/>
      <w:bCs/>
    </w:rPr>
  </w:style>
  <w:style w:type="character" w:customStyle="1" w:styleId="CommentSubjectChar">
    <w:name w:val="Comment Subject Char"/>
    <w:basedOn w:val="CommentTextChar"/>
    <w:link w:val="CommentSubject"/>
    <w:uiPriority w:val="99"/>
    <w:semiHidden/>
    <w:rsid w:val="00FD3C0B"/>
    <w:rPr>
      <w:b/>
      <w:bCs/>
      <w:sz w:val="20"/>
      <w:szCs w:val="20"/>
    </w:rPr>
  </w:style>
  <w:style w:type="paragraph" w:styleId="BalloonText">
    <w:name w:val="Balloon Text"/>
    <w:basedOn w:val="Normal"/>
    <w:link w:val="BalloonTextChar"/>
    <w:uiPriority w:val="99"/>
    <w:semiHidden/>
    <w:unhideWhenUsed/>
    <w:rsid w:val="00FD3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0B"/>
    <w:rPr>
      <w:rFonts w:ascii="Segoe UI" w:hAnsi="Segoe UI" w:cs="Segoe UI"/>
      <w:sz w:val="18"/>
      <w:szCs w:val="18"/>
    </w:rPr>
  </w:style>
  <w:style w:type="character" w:customStyle="1" w:styleId="Heading2Char">
    <w:name w:val="Heading 2 Char"/>
    <w:basedOn w:val="DefaultParagraphFont"/>
    <w:link w:val="Heading2"/>
    <w:uiPriority w:val="9"/>
    <w:semiHidden/>
    <w:rsid w:val="005D432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D432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D4329"/>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5D4329"/>
    <w:rPr>
      <w:rFonts w:asciiTheme="majorHAnsi" w:eastAsiaTheme="majorEastAsia" w:hAnsiTheme="majorHAnsi" w:cstheme="majorBidi"/>
      <w:color w:val="1F4D78" w:themeColor="accent1" w:themeShade="7F"/>
    </w:rPr>
  </w:style>
  <w:style w:type="table" w:customStyle="1" w:styleId="GridTable5Dark-Accent112">
    <w:name w:val="Grid Table 5 Dark - Accent 112"/>
    <w:basedOn w:val="TableNormal"/>
    <w:next w:val="GridTable5Dark-Accent1"/>
    <w:uiPriority w:val="50"/>
    <w:rsid w:val="005D4329"/>
    <w:pPr>
      <w:spacing w:before="100" w:after="0" w:line="240" w:lineRule="auto"/>
    </w:pPr>
    <w:rPr>
      <w:rFonts w:eastAsiaTheme="minorEastAsia"/>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1">
    <w:name w:val="Grid Table 5 Dark Accent 1"/>
    <w:basedOn w:val="TableNormal"/>
    <w:uiPriority w:val="50"/>
    <w:rsid w:val="005D43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27</Pages>
  <Words>7537</Words>
  <Characters>42967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50404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O'Donoghue</dc:creator>
  <cp:keywords/>
  <dc:description/>
  <cp:lastModifiedBy>Vera Blake</cp:lastModifiedBy>
  <cp:revision>43</cp:revision>
  <cp:lastPrinted>2024-04-25T08:46:00Z</cp:lastPrinted>
  <dcterms:created xsi:type="dcterms:W3CDTF">2023-10-16T10:00:00Z</dcterms:created>
  <dcterms:modified xsi:type="dcterms:W3CDTF">2024-12-04T15:50:00Z</dcterms:modified>
</cp:coreProperties>
</file>