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C486" w14:textId="77777777" w:rsidR="00332628" w:rsidRPr="0067353E" w:rsidRDefault="00332628" w:rsidP="0067353E"/>
    <w:p w14:paraId="76E92EE1" w14:textId="77777777" w:rsidR="00F3322C" w:rsidRDefault="00941E5C">
      <w:r>
        <w:rPr>
          <w:noProof/>
        </w:rPr>
        <w:drawing>
          <wp:inline distT="0" distB="0" distL="0" distR="0" wp14:anchorId="7980291B" wp14:editId="44B5E9E5">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AB864A6" w14:textId="77777777" w:rsidR="00F3322C" w:rsidRDefault="00941E5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0D0C331" w14:textId="77777777" w:rsidR="00941E5C" w:rsidRDefault="00941E5C" w:rsidP="00941E5C">
      <w:pPr>
        <w:jc w:val="center"/>
        <w:rPr>
          <w:rFonts w:ascii="Arial" w:hAnsi="Arial"/>
          <w:color w:val="000000"/>
          <w:sz w:val="36"/>
        </w:rPr>
      </w:pPr>
    </w:p>
    <w:p w14:paraId="510BD3F9" w14:textId="77777777" w:rsidR="00941E5C" w:rsidRDefault="00941E5C" w:rsidP="00941E5C">
      <w:pPr>
        <w:jc w:val="center"/>
        <w:rPr>
          <w:rFonts w:ascii="Arial" w:hAnsi="Arial"/>
          <w:color w:val="000000"/>
          <w:sz w:val="36"/>
        </w:rPr>
      </w:pPr>
    </w:p>
    <w:p w14:paraId="3BEA3C43" w14:textId="77777777" w:rsidR="00941E5C" w:rsidRDefault="00941E5C" w:rsidP="00941E5C">
      <w:pPr>
        <w:jc w:val="center"/>
        <w:rPr>
          <w:rFonts w:ascii="Arial" w:hAnsi="Arial"/>
          <w:color w:val="000000"/>
          <w:sz w:val="36"/>
        </w:rPr>
      </w:pPr>
    </w:p>
    <w:p w14:paraId="3EFA1856" w14:textId="4DCFE753" w:rsidR="00F3322C" w:rsidRPr="00941E5C" w:rsidRDefault="00941E5C" w:rsidP="00941E5C">
      <w:pPr>
        <w:jc w:val="center"/>
        <w:rPr>
          <w:rFonts w:ascii="Arial" w:hAnsi="Arial"/>
          <w:color w:val="000000"/>
          <w:sz w:val="36"/>
        </w:rPr>
      </w:pPr>
      <w:r>
        <w:rPr>
          <w:rFonts w:ascii="Arial" w:hAnsi="Arial"/>
          <w:color w:val="000000"/>
          <w:sz w:val="36"/>
        </w:rPr>
        <w:t>(11/08/2025-17/08/2025)</w:t>
      </w:r>
    </w:p>
    <w:p w14:paraId="1207CDB3" w14:textId="77777777" w:rsidR="00941E5C" w:rsidRDefault="00941E5C">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378D5EDC" w14:textId="77777777" w:rsidR="00941E5C" w:rsidRDefault="00941E5C">
      <w:pPr>
        <w:jc w:val="both"/>
        <w:rPr>
          <w:rFonts w:ascii="Arial" w:hAnsi="Arial"/>
          <w:color w:val="000000"/>
          <w:sz w:val="20"/>
        </w:rPr>
      </w:pPr>
    </w:p>
    <w:p w14:paraId="63936408" w14:textId="77777777" w:rsidR="00941E5C" w:rsidRDefault="00941E5C">
      <w:pPr>
        <w:jc w:val="both"/>
        <w:rPr>
          <w:rFonts w:ascii="Arial" w:hAnsi="Arial"/>
          <w:color w:val="000000"/>
          <w:sz w:val="20"/>
        </w:rPr>
      </w:pPr>
    </w:p>
    <w:p w14:paraId="228D7A8F" w14:textId="77777777" w:rsidR="00941E5C" w:rsidRDefault="00941E5C">
      <w:pPr>
        <w:jc w:val="both"/>
        <w:rPr>
          <w:rFonts w:ascii="Arial" w:hAnsi="Arial"/>
          <w:color w:val="000000"/>
          <w:sz w:val="20"/>
        </w:rPr>
      </w:pPr>
    </w:p>
    <w:p w14:paraId="2344DA9D" w14:textId="77777777" w:rsidR="00941E5C" w:rsidRDefault="00941E5C">
      <w:pPr>
        <w:jc w:val="both"/>
        <w:rPr>
          <w:rFonts w:ascii="Arial" w:hAnsi="Arial"/>
          <w:color w:val="000000"/>
          <w:sz w:val="20"/>
        </w:rPr>
      </w:pPr>
    </w:p>
    <w:p w14:paraId="07B2438E" w14:textId="77777777" w:rsidR="00941E5C" w:rsidRDefault="00941E5C">
      <w:pPr>
        <w:jc w:val="both"/>
        <w:rPr>
          <w:rFonts w:ascii="Arial" w:hAnsi="Arial"/>
          <w:color w:val="000000"/>
          <w:sz w:val="20"/>
        </w:rPr>
      </w:pPr>
    </w:p>
    <w:p w14:paraId="233F96B2" w14:textId="77777777" w:rsidR="00941E5C" w:rsidRDefault="00941E5C">
      <w:pPr>
        <w:jc w:val="both"/>
        <w:rPr>
          <w:rFonts w:ascii="Arial" w:hAnsi="Arial"/>
          <w:color w:val="000000"/>
          <w:sz w:val="20"/>
        </w:rPr>
      </w:pPr>
    </w:p>
    <w:p w14:paraId="5CC5F4A8" w14:textId="77777777" w:rsidR="00941E5C" w:rsidRDefault="00941E5C">
      <w:pPr>
        <w:jc w:val="both"/>
        <w:rPr>
          <w:rFonts w:ascii="Arial" w:hAnsi="Arial"/>
          <w:color w:val="000000"/>
          <w:sz w:val="20"/>
        </w:rPr>
      </w:pPr>
    </w:p>
    <w:p w14:paraId="1B846187" w14:textId="5984F55E" w:rsidR="00F3322C" w:rsidRDefault="00941E5C">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09E3A0E" w14:textId="77777777" w:rsidR="00F3322C" w:rsidRDefault="00941E5C">
      <w:r>
        <w:br w:type="page"/>
      </w:r>
    </w:p>
    <w:p w14:paraId="112605E7" w14:textId="77777777" w:rsidR="00F3322C" w:rsidRDefault="00941E5C">
      <w:pPr>
        <w:jc w:val="center"/>
      </w:pPr>
      <w:r>
        <w:rPr>
          <w:rFonts w:ascii="Arial" w:hAnsi="Arial"/>
          <w:color w:val="000000"/>
          <w:sz w:val="24"/>
        </w:rPr>
        <w:lastRenderedPageBreak/>
        <w:br/>
        <w:t>WEEKLY PLANNING LISTS</w:t>
      </w:r>
    </w:p>
    <w:p w14:paraId="7ABD2816" w14:textId="77777777" w:rsidR="00F3322C" w:rsidRDefault="00941E5C">
      <w:pPr>
        <w:jc w:val="center"/>
      </w:pPr>
      <w:r>
        <w:rPr>
          <w:rFonts w:ascii="Arial" w:hAnsi="Arial"/>
          <w:b/>
          <w:color w:val="000000"/>
        </w:rPr>
        <w:t>Article 27(2), Planning &amp; Development Regulations 2001 (as amended)</w:t>
      </w:r>
    </w:p>
    <w:p w14:paraId="45B7C489" w14:textId="77777777" w:rsidR="00F3322C" w:rsidRDefault="00941E5C">
      <w:r>
        <w:rPr>
          <w:rFonts w:ascii="Arial" w:hAnsi="Arial"/>
          <w:color w:val="000000"/>
          <w:sz w:val="24"/>
        </w:rPr>
        <w:t>(a)  Under section 34 of the Act, the applications for permission may be granted permission, subject to or without conditions, or refused.</w:t>
      </w:r>
    </w:p>
    <w:p w14:paraId="35FB8F04" w14:textId="77777777" w:rsidR="00F3322C" w:rsidRDefault="00941E5C">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EAA5EBA" w14:textId="77777777" w:rsidR="00F3322C" w:rsidRDefault="00941E5C">
      <w:pPr>
        <w:jc w:val="center"/>
      </w:pPr>
      <w:r>
        <w:rPr>
          <w:rFonts w:ascii="Arial" w:hAnsi="Arial"/>
          <w:b/>
          <w:color w:val="000000"/>
        </w:rPr>
        <w:t>Article 31(g), Planning &amp; Development Regulations 2001 (as amended)</w:t>
      </w:r>
    </w:p>
    <w:p w14:paraId="3900C9FB" w14:textId="77777777" w:rsidR="00F3322C" w:rsidRDefault="00941E5C">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E5175CD" w14:textId="77777777" w:rsidR="00F3322C" w:rsidRDefault="00941E5C">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6212E96" w14:textId="77777777" w:rsidR="00F3322C" w:rsidRDefault="00941E5C">
      <w:pPr>
        <w:jc w:val="center"/>
      </w:pPr>
      <w:r>
        <w:rPr>
          <w:rFonts w:ascii="Arial" w:hAnsi="Arial"/>
          <w:color w:val="000000"/>
          <w:sz w:val="24"/>
        </w:rPr>
        <w:br/>
        <w:t>PLANNING INFORMATION SESSIONS</w:t>
      </w:r>
    </w:p>
    <w:p w14:paraId="020506BD" w14:textId="77777777" w:rsidR="00F3322C" w:rsidRDefault="00941E5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5E036C3" w14:textId="77777777" w:rsidR="00F3322C" w:rsidRDefault="00941E5C">
      <w:pPr>
        <w:jc w:val="center"/>
      </w:pPr>
      <w:r>
        <w:rPr>
          <w:noProof/>
        </w:rPr>
        <w:drawing>
          <wp:inline distT="0" distB="0" distL="0" distR="0" wp14:anchorId="11DABE0D" wp14:editId="0FB9B39F">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5A18FDD" w14:textId="77777777" w:rsidR="00F3322C" w:rsidRDefault="00941E5C">
      <w:pPr>
        <w:jc w:val="center"/>
      </w:pPr>
      <w:r>
        <w:rPr>
          <w:rFonts w:ascii="Arial" w:hAnsi="Arial"/>
          <w:b/>
          <w:color w:val="00007F"/>
          <w:sz w:val="26"/>
        </w:rPr>
        <w:lastRenderedPageBreak/>
        <w:t xml:space="preserve">Area 4 </w:t>
      </w:r>
      <w:r>
        <w:rPr>
          <w:rFonts w:ascii="Arial" w:hAnsi="Arial"/>
          <w:b/>
          <w:color w:val="00007F"/>
          <w:sz w:val="26"/>
        </w:rPr>
        <w:br/>
        <w:t>COMMERCIAL</w:t>
      </w:r>
    </w:p>
    <w:p w14:paraId="3218E488" w14:textId="422E79EF"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Freshways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IDA Industrial Park, Poppintree, Finglas, Dublin 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D11 F851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w:t>
      </w:r>
      <w:r>
        <w:rPr>
          <w:rFonts w:ascii="Arial" w:hAnsi="Arial"/>
          <w:color w:val="000000"/>
        </w:rPr>
        <w:tab/>
        <w:t>Permission for construction of a new extension to the south of existing production facility, to include a high-care production area, first-floor office accommodation, a storage and picking area, and plant room together with a new yard for truck and van deliveries.</w:t>
      </w:r>
      <w:r>
        <w:rPr>
          <w:rFonts w:ascii="Arial" w:hAnsi="Arial"/>
          <w:color w:val="000000"/>
        </w:rPr>
        <w:t xml:space="preserve">2) </w:t>
      </w:r>
      <w:r>
        <w:rPr>
          <w:rFonts w:ascii="Arial" w:hAnsi="Arial"/>
          <w:color w:val="000000"/>
        </w:rPr>
        <w:t xml:space="preserve">Permission for construction of a new refrigeration plant room to the west of the new extension.  </w:t>
      </w:r>
      <w:r>
        <w:rPr>
          <w:rFonts w:ascii="Arial" w:hAnsi="Arial"/>
          <w:color w:val="000000"/>
        </w:rPr>
        <w:t xml:space="preserve">3) </w:t>
      </w:r>
      <w:r>
        <w:rPr>
          <w:rFonts w:ascii="Arial" w:hAnsi="Arial"/>
          <w:color w:val="000000"/>
        </w:rPr>
        <w:t xml:space="preserve">Permission to extend the existing car park to the east of the site by 20 spaces. </w:t>
      </w:r>
      <w:r>
        <w:rPr>
          <w:rFonts w:ascii="Arial" w:hAnsi="Arial"/>
          <w:color w:val="000000"/>
        </w:rPr>
        <w:t xml:space="preserve">4) </w:t>
      </w:r>
      <w:r>
        <w:rPr>
          <w:rFonts w:ascii="Arial" w:hAnsi="Arial"/>
          <w:color w:val="000000"/>
        </w:rPr>
        <w:t xml:space="preserve">Retention Permission of existing temporary modular production rooms, located to the south of the existing facility, and associated site works. These temporary structures will be removed upon completion of the proposed extension. </w:t>
      </w:r>
      <w:r>
        <w:rPr>
          <w:rFonts w:ascii="Arial" w:hAnsi="Arial"/>
          <w:color w:val="000000"/>
        </w:rPr>
        <w:t xml:space="preserve">5) </w:t>
      </w:r>
      <w:r>
        <w:rPr>
          <w:rFonts w:ascii="Arial" w:hAnsi="Arial"/>
          <w:color w:val="000000"/>
        </w:rPr>
        <w:t xml:space="preserve">Retention Permission of approximately 122 linear metres of razor wire, installed over existing mesh fencing along the eastern boundary of the site, commencing at the north-eastern corner. </w:t>
      </w:r>
      <w:r>
        <w:rPr>
          <w:rFonts w:ascii="Arial" w:hAnsi="Arial"/>
          <w:color w:val="000000"/>
        </w:rPr>
        <w:t xml:space="preserve">6) </w:t>
      </w:r>
      <w:r>
        <w:rPr>
          <w:rFonts w:ascii="Arial" w:hAnsi="Arial"/>
          <w:color w:val="000000"/>
        </w:rPr>
        <w:t xml:space="preserve">Permission for the installation of razor wire over the existing smoking shelter located adjacent to the site entrance. </w:t>
      </w:r>
      <w:r>
        <w:rPr>
          <w:rFonts w:ascii="Arial" w:hAnsi="Arial"/>
          <w:color w:val="000000"/>
        </w:rPr>
        <w:t xml:space="preserve">7) </w:t>
      </w:r>
      <w:r>
        <w:rPr>
          <w:rFonts w:ascii="Arial" w:hAnsi="Arial"/>
          <w:color w:val="000000"/>
        </w:rPr>
        <w:t xml:space="preserve">Retention Permission of an increased height-approximately 2.1m to 3.3m-of 35 metres of palisade fencing connecting to the mesh fence at the south-eastern corner of the site. </w:t>
      </w:r>
      <w:r>
        <w:rPr>
          <w:rFonts w:ascii="Arial" w:hAnsi="Arial"/>
          <w:color w:val="000000"/>
        </w:rPr>
        <w:t xml:space="preserve">8) </w:t>
      </w:r>
      <w:r>
        <w:rPr>
          <w:rFonts w:ascii="Arial" w:hAnsi="Arial"/>
          <w:color w:val="000000"/>
        </w:rPr>
        <w:t xml:space="preserve">Permission to increase the height of the remaining palisade fencing from 2.1m to 3.3m along the remaining southern boundary of the site extending to the south-west corner. </w:t>
      </w:r>
      <w:r>
        <w:rPr>
          <w:rFonts w:ascii="Arial" w:hAnsi="Arial"/>
          <w:color w:val="000000"/>
        </w:rPr>
        <w:t xml:space="preserve">9) </w:t>
      </w:r>
      <w:r>
        <w:rPr>
          <w:rFonts w:ascii="Arial" w:hAnsi="Arial"/>
          <w:color w:val="000000"/>
        </w:rPr>
        <w:t>All associated site development works and services.</w:t>
      </w:r>
    </w:p>
    <w:p w14:paraId="000407AF" w14:textId="77777777" w:rsidR="00F3322C" w:rsidRDefault="00941E5C">
      <w:pPr>
        <w:jc w:val="center"/>
      </w:pPr>
      <w:r>
        <w:rPr>
          <w:rFonts w:ascii="Arial" w:hAnsi="Arial"/>
          <w:color w:val="000000"/>
        </w:rPr>
        <w:t>______________________________________________________________________________</w:t>
      </w:r>
    </w:p>
    <w:p w14:paraId="35A7629F" w14:textId="77777777"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Dwyer Nolan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Vacant site that is situated to the south of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adjacent to 210 Jamestown Road,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3no. 3-storey 4-bedroom terraced dwelling houses and 3no. parking spaces that are located to the rear of the proposed development at Hampton Wood Crescent.</w:t>
      </w:r>
    </w:p>
    <w:p w14:paraId="717F4161" w14:textId="77777777" w:rsidR="00F3322C" w:rsidRDefault="00941E5C">
      <w:pPr>
        <w:jc w:val="center"/>
      </w:pPr>
      <w:r>
        <w:rPr>
          <w:rFonts w:ascii="Arial" w:hAnsi="Arial"/>
          <w:color w:val="000000"/>
        </w:rPr>
        <w:t>______________________________________________________________________________</w:t>
      </w:r>
    </w:p>
    <w:p w14:paraId="39FC2937" w14:textId="59615977"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WEBLRD6078/25-S3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Large Residential Development-3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Tuath Housing Association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approx. 3.17 Ha in Ballymun, Dublin 9.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is bound: to the north by Coultry Gardens,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east by Coultry Green, Coultry Terrace/Coultry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Woodhazel Terrace/Coultry Park &amp; Woodhazel Close, the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by Balllymun Road &amp; Coultry Road.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Sit</w:t>
      </w:r>
      <w:r>
        <w:rPr>
          <w:rFonts w:ascii="Arial" w:hAnsi="Arial"/>
          <w:color w:val="000000"/>
        </w:rPr>
        <w:t xml:space="preserve">e Location Description: </w:t>
      </w:r>
      <w:r>
        <w:rPr>
          <w:rFonts w:ascii="Arial" w:hAnsi="Arial"/>
          <w:color w:val="000000"/>
        </w:rPr>
        <w:t>A site of approximately 3.17 Ha in Ballymun, Dublin 9. The site is generally bound as follows: to the north by Coultry Gardens and the grounds of Domville House Clinic; to the east by Coultry Green, Coultry Terrace / Coultry Park, Woodhazel Terrace / Coultry Park and Woodhazel Close; to the south by the grounds of Virgin Mary Girls’ National School; and to the west by Ballymun Road (R108) and Coultry Road. The site includes the ‘Muck and Magic Community Garden’ and residential dwellings at Nos. 62–65 Coultr</w:t>
      </w:r>
      <w:r>
        <w:rPr>
          <w:rFonts w:ascii="Arial" w:hAnsi="Arial"/>
          <w:color w:val="000000"/>
        </w:rPr>
        <w:t xml:space="preserve">y Gardens (Eircodes: D09 Y522, D09 T6X4, D09 PD62 and D09 KX53). The site also extends to include parts of Ballymun Road, Coultry Green, Coultry Terrace / Coultry Park and Coultry Road for road infrastructure works and water service infrastructure works (0.12 Ha of the site area). </w:t>
      </w:r>
      <w:r>
        <w:rPr>
          <w:rFonts w:ascii="Arial" w:hAnsi="Arial"/>
          <w:color w:val="000000"/>
        </w:rPr>
        <w:t xml:space="preserve">Development Description: </w:t>
      </w:r>
      <w:r>
        <w:rPr>
          <w:rFonts w:ascii="Arial" w:hAnsi="Arial"/>
          <w:color w:val="000000"/>
        </w:rPr>
        <w:t xml:space="preserve">The proposed development will principally consist of: the demolition of 4 No. residential dwellings (Nos. 62–65 Coultry Gardens, approximately 357.6 sq m); the demolition/clearance of 9 No. gardening and storage structures at the grounds of the ‘Muck and Magic Community Garden’ (approximately 178.8 sq m); and the construction of a mixed-use development. </w:t>
      </w:r>
      <w:r>
        <w:rPr>
          <w:rFonts w:ascii="Arial" w:hAnsi="Arial"/>
          <w:color w:val="000000"/>
        </w:rPr>
        <w:t>The mixed-use development primarily comprises: 463 No. residential units as apartments and duplexes (190 No. 1-bed, 226 No. 2-bed and 47 No. 3-bed); crèche (445.7 sq m); and culture/community unit (423.4 sq m). The development has a total gross floor area of 42,617.0 sq m and is primarily proposed in 10 No. buildings, generally ranging in height from 3 No. storeys to 6 No. storeys, as follows: Block No. 1 is 6 No. storeys; Block No. 2/3 is 6 No. storeys; Block No. 4 ranges from 4 No. to 6 No. storeys; Block</w:t>
      </w:r>
      <w:r>
        <w:rPr>
          <w:rFonts w:ascii="Arial" w:hAnsi="Arial"/>
          <w:color w:val="000000"/>
        </w:rPr>
        <w:t xml:space="preserve"> No. 5/6 ranges from 3 No. to 6 No. storeys; Block No. 7 ranges from 4 No. to 6 No. storeys; Block No. 8 is 5 No. storeys; Block No. 9 is 5 No. storeys; and the 3 No. duplex blocks are all 3 No. storeys. </w:t>
      </w:r>
      <w:r>
        <w:rPr>
          <w:rFonts w:ascii="Arial" w:hAnsi="Arial"/>
          <w:color w:val="000000"/>
        </w:rPr>
        <w:t>The proposed development will also include: new multi-modal junction with Ballymun Road at the site’s north-western side; reconfiguration of the road layout and junction of Coultry Gardens and Coultry Road; upgrade of the access lane at the south connecting Coultry Road with Woodhazel Close as a multi-modal site access; internal road and access network; 144 No. car parking spaces; 1 No. set-down bay; 8 No. motorcycle parking spaces; 1,040 No. cycle parking spaces; bin stores; green roofs; hard and soft land</w:t>
      </w:r>
      <w:r>
        <w:rPr>
          <w:rFonts w:ascii="Arial" w:hAnsi="Arial"/>
          <w:color w:val="000000"/>
        </w:rPr>
        <w:t xml:space="preserve">scaping, including as public open spaces and communal amenity spaces; private amenity spaces as balconies and terraces facing all directions; boundary treatments; public lighting; 4 No. sub-stations and switch rooms; plant rooms; plant, lift overruns and PV panels at roof level; all associated works above and below ground. </w:t>
      </w:r>
      <w:r>
        <w:rPr>
          <w:rFonts w:ascii="Arial" w:hAnsi="Arial"/>
          <w:color w:val="000000"/>
        </w:rPr>
        <w:t>The planning application may also be inspected online at the following website set up by the applicant: www.coultrylrd.com</w:t>
      </w:r>
    </w:p>
    <w:p w14:paraId="19C5E9F1" w14:textId="77777777" w:rsidR="00F3322C" w:rsidRDefault="00941E5C">
      <w:pPr>
        <w:jc w:val="center"/>
      </w:pPr>
      <w:r>
        <w:rPr>
          <w:rFonts w:ascii="Arial" w:hAnsi="Arial"/>
          <w:color w:val="000000"/>
        </w:rPr>
        <w:t>______________________________________________________________________________</w:t>
      </w:r>
    </w:p>
    <w:p w14:paraId="58AC768D" w14:textId="77777777" w:rsidR="00F3322C" w:rsidRDefault="00941E5C">
      <w:pPr>
        <w:jc w:val="center"/>
      </w:pPr>
      <w:r>
        <w:rPr>
          <w:rFonts w:ascii="Arial" w:hAnsi="Arial"/>
          <w:b/>
          <w:color w:val="00007F"/>
          <w:sz w:val="26"/>
        </w:rPr>
        <w:t xml:space="preserve">Area 4 </w:t>
      </w:r>
      <w:r>
        <w:rPr>
          <w:rFonts w:ascii="Arial" w:hAnsi="Arial"/>
          <w:b/>
          <w:color w:val="00007F"/>
          <w:sz w:val="26"/>
        </w:rPr>
        <w:br/>
        <w:t>DOMESTIC</w:t>
      </w:r>
    </w:p>
    <w:p w14:paraId="6B4CDB4F" w14:textId="77777777"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Songhui Zhen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Shanliss Grove, Dublin 9, D09 NW96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1) The demolition of existing sheds and conservatory in the rear garden. 2) The construction of a part two-storey and part single-storey extension with flat roof to the rear of the existing dwelling, and two rooflights to the proposed single-storey flat roof; 3) The construction of </w:t>
      </w:r>
      <w:r>
        <w:rPr>
          <w:rFonts w:ascii="Arial" w:hAnsi="Arial"/>
          <w:color w:val="000000"/>
        </w:rPr>
        <w:t>an attic conversion with a rear flat dormer and one rooflight to the existing rear roof slope. 4) The construction of a detached garden room to the rear garden. 5) The widening of the existing vehicular entrance to 3.5m wide. All associated works to complete the development.</w:t>
      </w:r>
    </w:p>
    <w:p w14:paraId="7E86489A" w14:textId="77777777" w:rsidR="00F3322C" w:rsidRDefault="00941E5C">
      <w:pPr>
        <w:jc w:val="center"/>
      </w:pPr>
      <w:r>
        <w:rPr>
          <w:rFonts w:ascii="Arial" w:hAnsi="Arial"/>
          <w:color w:val="000000"/>
        </w:rPr>
        <w:t>______________________________________________________________________________</w:t>
      </w:r>
    </w:p>
    <w:p w14:paraId="009C3329" w14:textId="77777777" w:rsidR="00F3322C" w:rsidRDefault="00941E5C">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Damien Garvey &amp; David Cochrane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50 Whitworth Road, Dublin 9, which also addresses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Claude Road &amp; the laneway to the rear, D09 K8H4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provision of one number off-street car parking space, proposed new vehicular and pedestrian access gates off Claude Road, proposed alterations to the existing boundary wall and pedestrian access gates and all associated site works. Note this will result in the loss of one existing on-street parking space.</w:t>
      </w:r>
    </w:p>
    <w:p w14:paraId="03635F13" w14:textId="77777777" w:rsidR="00F3322C" w:rsidRDefault="00941E5C">
      <w:pPr>
        <w:jc w:val="center"/>
      </w:pPr>
      <w:r>
        <w:rPr>
          <w:rFonts w:ascii="Arial" w:hAnsi="Arial"/>
          <w:color w:val="000000"/>
        </w:rPr>
        <w:t>______________________________________________________________________________</w:t>
      </w:r>
    </w:p>
    <w:p w14:paraId="164311B4" w14:textId="77777777" w:rsidR="00F3322C" w:rsidRDefault="00941E5C">
      <w:pPr>
        <w:jc w:val="center"/>
      </w:pPr>
      <w:r>
        <w:rPr>
          <w:rFonts w:ascii="Arial" w:hAnsi="Arial"/>
          <w:b/>
          <w:color w:val="00007F"/>
          <w:sz w:val="26"/>
        </w:rPr>
        <w:t xml:space="preserve">Area 4 </w:t>
      </w:r>
      <w:r>
        <w:rPr>
          <w:rFonts w:ascii="Arial" w:hAnsi="Arial"/>
          <w:b/>
          <w:color w:val="00007F"/>
          <w:sz w:val="26"/>
        </w:rPr>
        <w:br/>
        <w:t>Decisions</w:t>
      </w:r>
    </w:p>
    <w:p w14:paraId="260AF566" w14:textId="796F3462"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Grace Ralph and Stephen Boylan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Glenhill Road, Finglas East,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to retain: (a) Open front single storey porch to existing dwelling, (b) Attached garage area constructed under original carport roof. And all associated site works . </w:t>
      </w:r>
    </w:p>
    <w:p w14:paraId="0D751DCF" w14:textId="77777777" w:rsidR="00F3322C" w:rsidRDefault="00941E5C">
      <w:pPr>
        <w:jc w:val="center"/>
      </w:pPr>
      <w:r>
        <w:rPr>
          <w:rFonts w:ascii="Arial" w:hAnsi="Arial"/>
          <w:color w:val="000000"/>
        </w:rPr>
        <w:t>______________________________________________________________________________</w:t>
      </w:r>
    </w:p>
    <w:p w14:paraId="61054C63" w14:textId="24B8C177"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 Pauly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Cedarwood Park, Finglas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a) single storey kitchen/dining extension to rear, and b) build-up of existing gable </w:t>
      </w:r>
      <w:r>
        <w:rPr>
          <w:rFonts w:ascii="Arial" w:hAnsi="Arial"/>
          <w:color w:val="000000"/>
        </w:rPr>
        <w:t xml:space="preserve">wall to meet newly extended ridge line and conversion of attic with dormer to rear comprising of two bedrooms </w:t>
      </w:r>
      <w:r>
        <w:rPr>
          <w:rFonts w:ascii="Arial" w:hAnsi="Arial"/>
          <w:color w:val="000000"/>
        </w:rPr>
        <w:t>and shower/</w:t>
      </w:r>
      <w:proofErr w:type="spellStart"/>
      <w:r>
        <w:rPr>
          <w:rFonts w:ascii="Arial" w:hAnsi="Arial"/>
          <w:color w:val="000000"/>
        </w:rPr>
        <w:t>wc</w:t>
      </w:r>
      <w:proofErr w:type="spellEnd"/>
      <w:r>
        <w:rPr>
          <w:rFonts w:ascii="Arial" w:hAnsi="Arial"/>
          <w:color w:val="000000"/>
        </w:rPr>
        <w:t xml:space="preserve"> together with associated internal alterations at 32 Cedarwood Park, Finglas Dublin 11</w:t>
      </w:r>
    </w:p>
    <w:p w14:paraId="23506907" w14:textId="77777777" w:rsidR="00F3322C" w:rsidRDefault="00941E5C">
      <w:pPr>
        <w:jc w:val="center"/>
      </w:pPr>
      <w:r>
        <w:rPr>
          <w:rFonts w:ascii="Arial" w:hAnsi="Arial"/>
          <w:color w:val="000000"/>
        </w:rPr>
        <w:t>______________________________________________________________________________</w:t>
      </w:r>
    </w:p>
    <w:p w14:paraId="5ED9FD12" w14:textId="77777777"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Sutton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14A, Dunsink Green, Finglas,  Dublin 11</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a 1st floor extension over existing ground floor extension to rear garden, with internal modifications and associated site works</w:t>
      </w:r>
    </w:p>
    <w:p w14:paraId="6BCE78F9" w14:textId="77777777" w:rsidR="00F3322C" w:rsidRDefault="00941E5C">
      <w:pPr>
        <w:jc w:val="center"/>
      </w:pPr>
      <w:r>
        <w:rPr>
          <w:rFonts w:ascii="Arial" w:hAnsi="Arial"/>
          <w:color w:val="000000"/>
        </w:rPr>
        <w:t>______________________________________________________________________________</w:t>
      </w:r>
    </w:p>
    <w:p w14:paraId="6B03D5B3" w14:textId="3C44CF76" w:rsidR="00F3322C" w:rsidRDefault="00941E5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Freshways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IDA Industrial Park, Poppintree, Finglas,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1) Permission for construction of a new extension to the south of existing production facility, to include a high-care production area, first-floor office accommodation, a storage and picking area, and plant room together with a new yard for truck and van deliveries. </w:t>
      </w:r>
      <w:r>
        <w:rPr>
          <w:rFonts w:ascii="Arial" w:hAnsi="Arial"/>
          <w:color w:val="000000"/>
        </w:rPr>
        <w:t xml:space="preserve">2) Permission for construction of a new refrigeration plant room to the west of the new extension.  </w:t>
      </w:r>
      <w:r>
        <w:rPr>
          <w:rFonts w:ascii="Arial" w:hAnsi="Arial"/>
          <w:color w:val="000000"/>
        </w:rPr>
        <w:t xml:space="preserve">3) Permission to extend the existing car park to the east of the site by 20 spaces. </w:t>
      </w:r>
      <w:r>
        <w:rPr>
          <w:rFonts w:ascii="Arial" w:hAnsi="Arial"/>
          <w:color w:val="000000"/>
        </w:rPr>
        <w:t xml:space="preserve">4) Retention Permission of existing temporary modular production rooms, located to the south of the existing facility, and associated site works. These temporary structures will be removed upon completion of the proposed extension. </w:t>
      </w:r>
      <w:r>
        <w:rPr>
          <w:rFonts w:ascii="Arial" w:hAnsi="Arial"/>
          <w:color w:val="000000"/>
        </w:rPr>
        <w:t xml:space="preserve">5) Retention Permission of approximately 122 linear metres of razor wire, installed over existing mesh fencing along the eastern boundary of the site, commencing at the north-eastern corner. </w:t>
      </w:r>
      <w:r>
        <w:rPr>
          <w:rFonts w:ascii="Arial" w:hAnsi="Arial"/>
          <w:color w:val="000000"/>
        </w:rPr>
        <w:t xml:space="preserve">6) Permission for the installation of razor wire over the existing smoking shelter located adjacent to the site entrance. </w:t>
      </w:r>
      <w:r>
        <w:rPr>
          <w:rFonts w:ascii="Arial" w:hAnsi="Arial"/>
          <w:color w:val="000000"/>
        </w:rPr>
        <w:t xml:space="preserve">7) Retention Permission of an increased height—approximately 2.1m to 3.3m—of 35 metres of palisade fencing connecting to the mesh fence at the south-eastern corner of the site. </w:t>
      </w:r>
      <w:r>
        <w:rPr>
          <w:rFonts w:ascii="Arial" w:hAnsi="Arial"/>
          <w:color w:val="000000"/>
        </w:rPr>
        <w:t xml:space="preserve">8) Permission to increase the height of the remaining palisade fencing from 2.1m to 3.3m along the remaining southern boundary of the site extending to the south-west corner. </w:t>
      </w:r>
      <w:r>
        <w:rPr>
          <w:rFonts w:ascii="Arial" w:hAnsi="Arial"/>
          <w:color w:val="000000"/>
        </w:rPr>
        <w:t>9) All associated site development works and services.</w:t>
      </w:r>
    </w:p>
    <w:p w14:paraId="0D2A2DF0" w14:textId="77777777" w:rsidR="00F3322C" w:rsidRDefault="00941E5C">
      <w:pPr>
        <w:jc w:val="center"/>
      </w:pPr>
      <w:r>
        <w:rPr>
          <w:rFonts w:ascii="Arial" w:hAnsi="Arial"/>
          <w:color w:val="000000"/>
        </w:rPr>
        <w:t>______________________________________________________________________________</w:t>
      </w:r>
    </w:p>
    <w:p w14:paraId="056811A5" w14:textId="71EC51AF" w:rsidR="00941E5C" w:rsidRDefault="00941E5C" w:rsidP="00941E5C">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Appeals Notified</w:t>
      </w:r>
    </w:p>
    <w:p w14:paraId="0479982C" w14:textId="77777777" w:rsidR="00941E5C" w:rsidRDefault="00941E5C" w:rsidP="00941E5C">
      <w:pPr>
        <w:jc w:val="center"/>
        <w:rPr>
          <w:rFonts w:ascii="Arial" w:hAnsi="Arial"/>
          <w:b/>
          <w:color w:val="00007F"/>
          <w:sz w:val="26"/>
        </w:rPr>
      </w:pPr>
      <w:r>
        <w:rPr>
          <w:rFonts w:ascii="Arial" w:hAnsi="Arial"/>
          <w:b/>
          <w:color w:val="00007F"/>
          <w:sz w:val="26"/>
        </w:rPr>
        <w:t>None</w:t>
      </w:r>
    </w:p>
    <w:p w14:paraId="47CF906C" w14:textId="77777777" w:rsidR="00941E5C" w:rsidRPr="00EC65A3" w:rsidRDefault="00941E5C" w:rsidP="00941E5C">
      <w:pPr>
        <w:jc w:val="center"/>
      </w:pPr>
      <w:r>
        <w:rPr>
          <w:rFonts w:ascii="Arial" w:hAnsi="Arial"/>
          <w:color w:val="000000"/>
        </w:rPr>
        <w:t>______________________________________________________________________________</w:t>
      </w:r>
    </w:p>
    <w:p w14:paraId="00E4612B" w14:textId="77777777" w:rsidR="00941E5C" w:rsidRDefault="00941E5C" w:rsidP="00941E5C">
      <w:pPr>
        <w:jc w:val="center"/>
        <w:rPr>
          <w:rFonts w:ascii="Arial" w:hAnsi="Arial"/>
          <w:b/>
          <w:color w:val="00007F"/>
          <w:sz w:val="26"/>
        </w:rPr>
      </w:pPr>
    </w:p>
    <w:p w14:paraId="5470719B" w14:textId="77777777" w:rsidR="00941E5C" w:rsidRDefault="00941E5C" w:rsidP="00941E5C">
      <w:pPr>
        <w:jc w:val="center"/>
        <w:rPr>
          <w:rFonts w:ascii="Arial" w:hAnsi="Arial"/>
          <w:b/>
          <w:color w:val="00007F"/>
          <w:sz w:val="26"/>
        </w:rPr>
      </w:pPr>
      <w:r>
        <w:rPr>
          <w:rFonts w:ascii="Arial" w:hAnsi="Arial"/>
          <w:b/>
          <w:color w:val="00007F"/>
          <w:sz w:val="26"/>
        </w:rPr>
        <w:t>Area 4</w:t>
      </w:r>
    </w:p>
    <w:p w14:paraId="78C32FFB" w14:textId="77777777" w:rsidR="00941E5C" w:rsidRDefault="00941E5C" w:rsidP="00941E5C">
      <w:pPr>
        <w:jc w:val="center"/>
        <w:rPr>
          <w:rFonts w:ascii="Arial" w:hAnsi="Arial"/>
          <w:b/>
          <w:color w:val="00007F"/>
          <w:sz w:val="26"/>
        </w:rPr>
      </w:pPr>
      <w:r>
        <w:rPr>
          <w:rFonts w:ascii="Arial" w:hAnsi="Arial"/>
          <w:b/>
          <w:color w:val="00007F"/>
          <w:sz w:val="26"/>
        </w:rPr>
        <w:t>Appeals Decided</w:t>
      </w:r>
    </w:p>
    <w:p w14:paraId="7314B255" w14:textId="77777777" w:rsidR="00941E5C" w:rsidRDefault="00941E5C" w:rsidP="00941E5C">
      <w:pPr>
        <w:jc w:val="center"/>
        <w:rPr>
          <w:rFonts w:ascii="Arial" w:hAnsi="Arial"/>
          <w:b/>
          <w:color w:val="00007F"/>
          <w:sz w:val="26"/>
        </w:rPr>
      </w:pPr>
      <w:r>
        <w:rPr>
          <w:rFonts w:ascii="Arial" w:hAnsi="Arial"/>
          <w:b/>
          <w:color w:val="00007F"/>
          <w:sz w:val="26"/>
        </w:rPr>
        <w:t>None</w:t>
      </w:r>
    </w:p>
    <w:p w14:paraId="7C0A5459" w14:textId="77777777" w:rsidR="00941E5C" w:rsidRDefault="00941E5C" w:rsidP="00941E5C">
      <w:pPr>
        <w:jc w:val="center"/>
      </w:pPr>
      <w:r>
        <w:rPr>
          <w:rFonts w:ascii="Arial" w:hAnsi="Arial"/>
          <w:color w:val="000000"/>
        </w:rPr>
        <w:t>______________________________________________________________________________</w:t>
      </w:r>
    </w:p>
    <w:p w14:paraId="2631180C" w14:textId="3352C2B5" w:rsidR="00F3322C" w:rsidRDefault="00F3322C"/>
    <w:p w14:paraId="70D52808" w14:textId="77777777" w:rsidR="00941E5C" w:rsidRDefault="00941E5C"/>
    <w:p w14:paraId="66B99B1A" w14:textId="4246BA5D" w:rsidR="00F3322C" w:rsidRDefault="00F3322C">
      <w:pPr>
        <w:jc w:val="center"/>
      </w:pPr>
    </w:p>
    <w:sectPr w:rsidR="00F3322C"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F67B" w14:textId="77777777" w:rsidR="00B15244" w:rsidRDefault="00B15244" w:rsidP="00B15244">
      <w:pPr>
        <w:spacing w:after="0" w:line="240" w:lineRule="auto"/>
      </w:pPr>
      <w:r>
        <w:separator/>
      </w:r>
    </w:p>
  </w:endnote>
  <w:endnote w:type="continuationSeparator" w:id="0">
    <w:p w14:paraId="6A62C06F"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7BA3"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7B33106"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006C5ABF"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BE65"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B2DE" w14:textId="77777777" w:rsidR="00B15244" w:rsidRDefault="00B15244" w:rsidP="00B15244">
      <w:pPr>
        <w:spacing w:after="0" w:line="240" w:lineRule="auto"/>
      </w:pPr>
      <w:r>
        <w:separator/>
      </w:r>
    </w:p>
  </w:footnote>
  <w:footnote w:type="continuationSeparator" w:id="0">
    <w:p w14:paraId="44639884"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87A0"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6ED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A2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D206E"/>
    <w:rsid w:val="005623A5"/>
    <w:rsid w:val="0067353E"/>
    <w:rsid w:val="00825051"/>
    <w:rsid w:val="008D1894"/>
    <w:rsid w:val="00941E5C"/>
    <w:rsid w:val="00966DF9"/>
    <w:rsid w:val="00AC649D"/>
    <w:rsid w:val="00B15244"/>
    <w:rsid w:val="00CA72E8"/>
    <w:rsid w:val="00D76538"/>
    <w:rsid w:val="00E03A08"/>
    <w:rsid w:val="00F33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A71D"/>
  <w15:docId w15:val="{15F42494-689E-4962-9EB1-6F10FE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2036</Words>
  <Characters>11611</Characters>
  <Application>Microsoft Office Word</Application>
  <DocSecurity>4</DocSecurity>
  <Lines>96</Lines>
  <Paragraphs>27</Paragraphs>
  <ScaleCrop>false</ScaleCrop>
  <Company>Dublin City Council</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2025-08-20T16:59:00Z</dcterms:created>
  <dcterms:modified xsi:type="dcterms:W3CDTF">2025-08-20T16:59:00Z</dcterms:modified>
</cp:coreProperties>
</file>