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A6FA" w14:textId="1C6A8EED" w:rsidR="00F55BF7" w:rsidRDefault="00B30118" w:rsidP="00126E62">
      <w:pPr>
        <w:pBdr>
          <w:top w:val="single" w:sz="4" w:space="1" w:color="auto"/>
        </w:pBdr>
        <w:ind w:right="-46"/>
        <w:jc w:val="left"/>
        <w:rPr>
          <w:rFonts w:cs="Arial"/>
          <w:b/>
          <w:sz w:val="24"/>
          <w:szCs w:val="24"/>
          <w:highlight w:val="yellow"/>
        </w:rPr>
      </w:pPr>
      <w:r>
        <w:rPr>
          <w:rFonts w:cs="Arial"/>
          <w:b/>
          <w:sz w:val="24"/>
          <w:szCs w:val="24"/>
          <w:highlight w:val="yellow"/>
        </w:rPr>
        <w:t xml:space="preserve"> </w:t>
      </w:r>
    </w:p>
    <w:p w14:paraId="7F59E895" w14:textId="5050A8AC" w:rsidR="00126E62" w:rsidRPr="00B40734" w:rsidRDefault="00126E62" w:rsidP="00126E62">
      <w:pPr>
        <w:pBdr>
          <w:top w:val="single" w:sz="4" w:space="1" w:color="auto"/>
        </w:pBdr>
        <w:ind w:right="-46"/>
        <w:jc w:val="left"/>
        <w:rPr>
          <w:rFonts w:cs="Arial"/>
          <w:b/>
          <w:sz w:val="24"/>
          <w:szCs w:val="24"/>
        </w:rPr>
      </w:pPr>
      <w:r w:rsidRPr="009F18B7">
        <w:rPr>
          <w:rFonts w:cs="Arial"/>
          <w:b/>
          <w:sz w:val="24"/>
          <w:szCs w:val="24"/>
        </w:rPr>
        <w:t>Dublin City Development Plan 2022 – 2028:</w:t>
      </w:r>
    </w:p>
    <w:p w14:paraId="6AF44713" w14:textId="33809CE8" w:rsidR="0088572B" w:rsidRPr="00FF04A6" w:rsidRDefault="00A238EE" w:rsidP="00FF04A6">
      <w:pPr>
        <w:pStyle w:val="BodyText"/>
        <w:tabs>
          <w:tab w:val="left" w:pos="720"/>
          <w:tab w:val="left" w:pos="5529"/>
          <w:tab w:val="right" w:pos="9639"/>
        </w:tabs>
        <w:spacing w:before="0" w:after="0"/>
        <w:ind w:left="0" w:right="-46"/>
        <w:jc w:val="left"/>
        <w:rPr>
          <w:rFonts w:ascii="Arial" w:hAnsi="Arial" w:cs="Arial"/>
          <w:sz w:val="22"/>
          <w:szCs w:val="22"/>
        </w:rPr>
      </w:pPr>
      <w:r w:rsidRPr="00AC532D">
        <w:rPr>
          <w:rFonts w:ascii="Arial" w:hAnsi="Arial" w:cs="Arial"/>
          <w:sz w:val="22"/>
          <w:szCs w:val="22"/>
        </w:rPr>
        <w:tab/>
        <w:t xml:space="preserve"> </w:t>
      </w:r>
    </w:p>
    <w:p w14:paraId="0345FD14" w14:textId="52BD3B11" w:rsidR="0088572B" w:rsidRPr="00A33483" w:rsidRDefault="0088572B" w:rsidP="0088572B">
      <w:pPr>
        <w:pStyle w:val="Heading2"/>
        <w:numPr>
          <w:ilvl w:val="0"/>
          <w:numId w:val="0"/>
        </w:numPr>
        <w:rPr>
          <w:sz w:val="24"/>
          <w:szCs w:val="24"/>
        </w:rPr>
      </w:pPr>
      <w:bookmarkStart w:id="0" w:name="_Hlk205459324"/>
      <w:r w:rsidRPr="00A33483">
        <w:rPr>
          <w:sz w:val="24"/>
          <w:szCs w:val="24"/>
        </w:rPr>
        <w:t>Core Strategy Monitoring report on City Performance Indicators</w:t>
      </w:r>
      <w:r w:rsidR="00BA4FE1" w:rsidRPr="00A33483">
        <w:rPr>
          <w:sz w:val="24"/>
          <w:szCs w:val="24"/>
        </w:rPr>
        <w:t xml:space="preserve"> 2024.</w:t>
      </w:r>
    </w:p>
    <w:p w14:paraId="5CFD1192" w14:textId="2F0A9467" w:rsidR="0088572B" w:rsidRDefault="0088572B" w:rsidP="00A238EE">
      <w:pPr>
        <w:pStyle w:val="TOC1"/>
      </w:pPr>
    </w:p>
    <w:p w14:paraId="62ADF040" w14:textId="77777777" w:rsidR="006E0F3D" w:rsidRDefault="006E0F3D" w:rsidP="00FF04A6"/>
    <w:p w14:paraId="262249FF" w14:textId="61901A03" w:rsidR="0088572B" w:rsidRPr="00FF04A6" w:rsidRDefault="00126E62" w:rsidP="0088572B">
      <w:pPr>
        <w:rPr>
          <w:u w:val="single"/>
        </w:rPr>
      </w:pPr>
      <w:r w:rsidRPr="009F18B7">
        <w:rPr>
          <w:u w:val="single"/>
        </w:rPr>
        <w:t xml:space="preserve">Executive Summary &amp; </w:t>
      </w:r>
      <w:r w:rsidR="002A60C6" w:rsidRPr="009F18B7">
        <w:rPr>
          <w:u w:val="single"/>
        </w:rPr>
        <w:t>K</w:t>
      </w:r>
      <w:r w:rsidR="0088572B" w:rsidRPr="009F18B7">
        <w:rPr>
          <w:u w:val="single"/>
        </w:rPr>
        <w:t xml:space="preserve">ey </w:t>
      </w:r>
      <w:r w:rsidR="002A60C6" w:rsidRPr="009F18B7">
        <w:rPr>
          <w:u w:val="single"/>
        </w:rPr>
        <w:t>R</w:t>
      </w:r>
      <w:r w:rsidR="0088572B" w:rsidRPr="009F18B7">
        <w:rPr>
          <w:u w:val="single"/>
        </w:rPr>
        <w:t>esults</w:t>
      </w:r>
    </w:p>
    <w:p w14:paraId="06658B6F" w14:textId="77777777" w:rsidR="0088572B" w:rsidRPr="008932E8" w:rsidRDefault="0088572B" w:rsidP="0088572B">
      <w:pPr>
        <w:rPr>
          <w:b/>
          <w:bCs/>
        </w:rPr>
      </w:pPr>
    </w:p>
    <w:p w14:paraId="0C7D830C" w14:textId="2812291A" w:rsidR="0088572B" w:rsidRDefault="0088572B" w:rsidP="0088572B">
      <w:r>
        <w:t>Government Guidelines on Development Plans (20</w:t>
      </w:r>
      <w:r w:rsidR="003B025E">
        <w:t>22</w:t>
      </w:r>
      <w:r>
        <w:t xml:space="preserve">) identify plan monitoring as </w:t>
      </w:r>
      <w:r w:rsidR="00744B00">
        <w:t xml:space="preserve">a </w:t>
      </w:r>
      <w:r>
        <w:t xml:space="preserve">key step towards plan evaluation and policy refinement. Annual core strategy monitoring is </w:t>
      </w:r>
      <w:r w:rsidR="00713DD3">
        <w:t>required,</w:t>
      </w:r>
      <w:r>
        <w:t xml:space="preserve"> and this helps assess development trends against core strategy objectives of the Development Plan. The Guidelines require that an annual report be made available to the elected members and published thereafter on the relevant website. At a broader level, National Strategic Outcomes contained in the National Planning Framework include outcomes such as ‘Compact Growth” and “Sustainable Mobility” which are key inputs to the process. </w:t>
      </w:r>
      <w:r w:rsidR="002A60C6" w:rsidRPr="009F18B7">
        <w:t>In April 2025, the first revision to the National Planning Framework was published, and National Policy Objectives 105, 106 and 108 therein focus specifically on the importance of monitoring</w:t>
      </w:r>
      <w:r w:rsidR="007A6CCE" w:rsidRPr="009F18B7">
        <w:t xml:space="preserve"> and measuring compact growth as a means </w:t>
      </w:r>
      <w:r w:rsidR="00202A53" w:rsidRPr="009F18B7">
        <w:t>gauging</w:t>
      </w:r>
      <w:r w:rsidR="007A6CCE" w:rsidRPr="009F18B7">
        <w:t xml:space="preserve"> progress on strategic objectives</w:t>
      </w:r>
      <w:r w:rsidR="0033537D" w:rsidRPr="009F18B7">
        <w:t>.</w:t>
      </w:r>
      <w:r w:rsidR="00202A53" w:rsidRPr="009F18B7">
        <w:t xml:space="preserve"> </w:t>
      </w:r>
      <w:r w:rsidRPr="009F18B7">
        <w:t>The Office of the Planning Regulator has</w:t>
      </w:r>
      <w:r w:rsidR="00202A53" w:rsidRPr="009F18B7">
        <w:t xml:space="preserve"> also</w:t>
      </w:r>
      <w:r w:rsidRPr="009F18B7">
        <w:t xml:space="preserve"> emphasised the importance of Planning Authority monitoring</w:t>
      </w:r>
      <w:r w:rsidR="00202A53" w:rsidRPr="009F18B7">
        <w:t>.</w:t>
      </w:r>
    </w:p>
    <w:p w14:paraId="5046DE92" w14:textId="77777777" w:rsidR="0088572B" w:rsidRDefault="0088572B" w:rsidP="0088572B"/>
    <w:p w14:paraId="46191ACE" w14:textId="6085E6BF" w:rsidR="0088572B" w:rsidRDefault="0088572B" w:rsidP="0088572B">
      <w:r>
        <w:t>S</w:t>
      </w:r>
      <w:r w:rsidRPr="00B40734">
        <w:t xml:space="preserve">ection 16.3.3 of the </w:t>
      </w:r>
      <w:r>
        <w:t xml:space="preserve">Dublin City </w:t>
      </w:r>
      <w:r w:rsidRPr="00B40734">
        <w:t>Development Plan</w:t>
      </w:r>
      <w:r>
        <w:t xml:space="preserve"> states that </w:t>
      </w:r>
      <w:r w:rsidRPr="00B40734">
        <w:t xml:space="preserve">a Core Strategy Monitoring report on City Performance Indicators is additional to the two-year progress report and </w:t>
      </w:r>
      <w:r>
        <w:t xml:space="preserve">is </w:t>
      </w:r>
      <w:r w:rsidRPr="00B40734">
        <w:t xml:space="preserve">to be presented to the City Council on </w:t>
      </w:r>
      <w:r w:rsidRPr="00AD1200">
        <w:t>an annual basis</w:t>
      </w:r>
      <w:r w:rsidRPr="00B40734">
        <w:t xml:space="preserve">. </w:t>
      </w:r>
      <w:r>
        <w:t xml:space="preserve"> </w:t>
      </w:r>
      <w:r w:rsidRPr="00B40734">
        <w:t xml:space="preserve">The indicators are a means by which the City’s progress can be measured in accordance with stated goals, by providing annual benchmarks. </w:t>
      </w:r>
      <w:r w:rsidR="00D3535B">
        <w:t>D</w:t>
      </w:r>
      <w:r>
        <w:t>ata</w:t>
      </w:r>
      <w:r w:rsidRPr="00B40734">
        <w:t xml:space="preserve"> from these annual indicators </w:t>
      </w:r>
      <w:r>
        <w:t xml:space="preserve">will be useful inputs </w:t>
      </w:r>
      <w:r w:rsidR="00D3535B">
        <w:t xml:space="preserve">to </w:t>
      </w:r>
      <w:r w:rsidRPr="00B40734">
        <w:t xml:space="preserve">forthcoming baseline work </w:t>
      </w:r>
      <w:r>
        <w:t>for the</w:t>
      </w:r>
      <w:r w:rsidRPr="00B40734">
        <w:t xml:space="preserve"> next City Development Plan.</w:t>
      </w:r>
    </w:p>
    <w:p w14:paraId="18B357C5" w14:textId="77777777" w:rsidR="0088572B" w:rsidRPr="00B40734" w:rsidRDefault="0088572B" w:rsidP="0088572B"/>
    <w:p w14:paraId="4C263A8F" w14:textId="277C60AF" w:rsidR="0088572B" w:rsidRDefault="0088572B" w:rsidP="0088572B">
      <w:r>
        <w:t xml:space="preserve">Key statistics for 2024 are as </w:t>
      </w:r>
      <w:r w:rsidR="00FF04A6">
        <w:t>follows.</w:t>
      </w:r>
    </w:p>
    <w:p w14:paraId="71A1651A" w14:textId="77777777" w:rsidR="0088572B" w:rsidRDefault="0088572B" w:rsidP="0088572B"/>
    <w:tbl>
      <w:tblPr>
        <w:tblStyle w:val="TableGrid"/>
        <w:tblW w:w="1062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382"/>
        <w:gridCol w:w="5245"/>
      </w:tblGrid>
      <w:tr w:rsidR="0088572B" w:rsidRPr="00FF04A6" w14:paraId="07FDFB0A" w14:textId="77777777" w:rsidTr="0088572B">
        <w:trPr>
          <w:trHeight w:val="500"/>
        </w:trPr>
        <w:tc>
          <w:tcPr>
            <w:tcW w:w="5382" w:type="dxa"/>
            <w:shd w:val="clear" w:color="auto" w:fill="D0CECE" w:themeFill="background2" w:themeFillShade="E6"/>
          </w:tcPr>
          <w:p w14:paraId="57B07886" w14:textId="23390F42" w:rsidR="0088572B" w:rsidRPr="00FF04A6" w:rsidRDefault="0088572B" w:rsidP="00797831">
            <w:pPr>
              <w:rPr>
                <w:sz w:val="20"/>
                <w:szCs w:val="20"/>
              </w:rPr>
            </w:pPr>
            <w:r w:rsidRPr="00FF04A6">
              <w:rPr>
                <w:sz w:val="20"/>
                <w:szCs w:val="20"/>
              </w:rPr>
              <w:t>Statistic for Dublin City</w:t>
            </w:r>
          </w:p>
        </w:tc>
        <w:tc>
          <w:tcPr>
            <w:tcW w:w="5245" w:type="dxa"/>
            <w:shd w:val="clear" w:color="auto" w:fill="D0CECE" w:themeFill="background2" w:themeFillShade="E6"/>
          </w:tcPr>
          <w:p w14:paraId="280CA40B" w14:textId="77777777" w:rsidR="0088572B" w:rsidRPr="00FF04A6" w:rsidRDefault="0088572B" w:rsidP="00797831">
            <w:pPr>
              <w:rPr>
                <w:sz w:val="20"/>
                <w:szCs w:val="20"/>
              </w:rPr>
            </w:pPr>
            <w:r w:rsidRPr="00FF04A6">
              <w:rPr>
                <w:sz w:val="20"/>
                <w:szCs w:val="20"/>
              </w:rPr>
              <w:t>Relevant Figure</w:t>
            </w:r>
          </w:p>
        </w:tc>
      </w:tr>
      <w:tr w:rsidR="0088572B" w:rsidRPr="00FF04A6" w14:paraId="1B591BAB" w14:textId="77777777" w:rsidTr="0088572B">
        <w:trPr>
          <w:trHeight w:val="349"/>
        </w:trPr>
        <w:tc>
          <w:tcPr>
            <w:tcW w:w="5382" w:type="dxa"/>
          </w:tcPr>
          <w:p w14:paraId="35945539" w14:textId="77777777" w:rsidR="0088572B" w:rsidRPr="00FF04A6" w:rsidRDefault="0088572B" w:rsidP="00797831">
            <w:pPr>
              <w:rPr>
                <w:sz w:val="20"/>
                <w:szCs w:val="20"/>
              </w:rPr>
            </w:pPr>
            <w:r w:rsidRPr="00FF04A6">
              <w:rPr>
                <w:sz w:val="20"/>
                <w:szCs w:val="20"/>
              </w:rPr>
              <w:t xml:space="preserve">Total no. of valid planning applications received </w:t>
            </w:r>
          </w:p>
        </w:tc>
        <w:tc>
          <w:tcPr>
            <w:tcW w:w="5245" w:type="dxa"/>
          </w:tcPr>
          <w:p w14:paraId="16963417" w14:textId="1D8F9C61" w:rsidR="0088572B" w:rsidRPr="00FF04A6" w:rsidRDefault="00E30D8E" w:rsidP="00797831">
            <w:pPr>
              <w:rPr>
                <w:sz w:val="20"/>
                <w:szCs w:val="20"/>
              </w:rPr>
            </w:pPr>
            <w:r>
              <w:rPr>
                <w:sz w:val="20"/>
                <w:szCs w:val="20"/>
              </w:rPr>
              <w:t>2</w:t>
            </w:r>
            <w:r w:rsidR="008B1913">
              <w:rPr>
                <w:sz w:val="20"/>
                <w:szCs w:val="20"/>
              </w:rPr>
              <w:t>,</w:t>
            </w:r>
            <w:r>
              <w:rPr>
                <w:sz w:val="20"/>
                <w:szCs w:val="20"/>
              </w:rPr>
              <w:t>774</w:t>
            </w:r>
          </w:p>
        </w:tc>
      </w:tr>
      <w:tr w:rsidR="0088572B" w:rsidRPr="00FF04A6" w14:paraId="161A6506" w14:textId="77777777" w:rsidTr="0088572B">
        <w:trPr>
          <w:trHeight w:val="349"/>
        </w:trPr>
        <w:tc>
          <w:tcPr>
            <w:tcW w:w="5382" w:type="dxa"/>
          </w:tcPr>
          <w:p w14:paraId="44872345" w14:textId="77777777" w:rsidR="0088572B" w:rsidRPr="00FF04A6" w:rsidRDefault="0088572B" w:rsidP="00797831">
            <w:pPr>
              <w:rPr>
                <w:sz w:val="20"/>
                <w:szCs w:val="20"/>
              </w:rPr>
            </w:pPr>
            <w:r w:rsidRPr="00FF04A6">
              <w:rPr>
                <w:sz w:val="20"/>
                <w:szCs w:val="20"/>
              </w:rPr>
              <w:t>Total no. of dwellings completed</w:t>
            </w:r>
          </w:p>
        </w:tc>
        <w:tc>
          <w:tcPr>
            <w:tcW w:w="5245" w:type="dxa"/>
          </w:tcPr>
          <w:p w14:paraId="0F60F818" w14:textId="296EFB86" w:rsidR="0088572B" w:rsidRPr="00FF04A6" w:rsidRDefault="0088572B" w:rsidP="00797831">
            <w:pPr>
              <w:rPr>
                <w:sz w:val="20"/>
                <w:szCs w:val="20"/>
              </w:rPr>
            </w:pPr>
            <w:r w:rsidRPr="00FF04A6">
              <w:rPr>
                <w:sz w:val="20"/>
                <w:szCs w:val="20"/>
              </w:rPr>
              <w:t>3</w:t>
            </w:r>
            <w:r w:rsidR="008B1913">
              <w:rPr>
                <w:sz w:val="20"/>
                <w:szCs w:val="20"/>
              </w:rPr>
              <w:t>,</w:t>
            </w:r>
            <w:r w:rsidRPr="00FF04A6">
              <w:rPr>
                <w:sz w:val="20"/>
                <w:szCs w:val="20"/>
              </w:rPr>
              <w:t xml:space="preserve">355 </w:t>
            </w:r>
          </w:p>
        </w:tc>
      </w:tr>
      <w:tr w:rsidR="0088572B" w:rsidRPr="00FF04A6" w14:paraId="75B37291" w14:textId="77777777" w:rsidTr="0088572B">
        <w:trPr>
          <w:trHeight w:val="349"/>
        </w:trPr>
        <w:tc>
          <w:tcPr>
            <w:tcW w:w="5382" w:type="dxa"/>
          </w:tcPr>
          <w:p w14:paraId="62597A93" w14:textId="3B037438" w:rsidR="00AA53FA" w:rsidRPr="00342DB9" w:rsidRDefault="00AA53FA" w:rsidP="00797831">
            <w:pPr>
              <w:rPr>
                <w:sz w:val="20"/>
                <w:szCs w:val="20"/>
              </w:rPr>
            </w:pPr>
            <w:r w:rsidRPr="00342DB9">
              <w:rPr>
                <w:sz w:val="20"/>
                <w:szCs w:val="20"/>
              </w:rPr>
              <w:t>Remaining residential capacity</w:t>
            </w:r>
          </w:p>
        </w:tc>
        <w:tc>
          <w:tcPr>
            <w:tcW w:w="5245" w:type="dxa"/>
          </w:tcPr>
          <w:p w14:paraId="1DC04F6B" w14:textId="287E249F" w:rsidR="0088572B" w:rsidRPr="00342DB9" w:rsidRDefault="00AA53FA" w:rsidP="00797831">
            <w:pPr>
              <w:rPr>
                <w:sz w:val="20"/>
                <w:szCs w:val="20"/>
              </w:rPr>
            </w:pPr>
            <w:r w:rsidRPr="00342DB9">
              <w:rPr>
                <w:rFonts w:cs="Arial"/>
                <w:sz w:val="20"/>
                <w:szCs w:val="20"/>
              </w:rPr>
              <w:t>33,959 units</w:t>
            </w:r>
          </w:p>
        </w:tc>
      </w:tr>
      <w:tr w:rsidR="0088572B" w:rsidRPr="00FF04A6" w14:paraId="51DB48EE" w14:textId="77777777" w:rsidTr="0088572B">
        <w:trPr>
          <w:trHeight w:val="349"/>
        </w:trPr>
        <w:tc>
          <w:tcPr>
            <w:tcW w:w="5382" w:type="dxa"/>
          </w:tcPr>
          <w:p w14:paraId="003F1572" w14:textId="77777777" w:rsidR="0088572B" w:rsidRPr="00FF04A6" w:rsidRDefault="0088572B" w:rsidP="00797831">
            <w:pPr>
              <w:rPr>
                <w:sz w:val="20"/>
                <w:szCs w:val="20"/>
              </w:rPr>
            </w:pPr>
            <w:r w:rsidRPr="00FF04A6">
              <w:rPr>
                <w:sz w:val="20"/>
                <w:szCs w:val="20"/>
              </w:rPr>
              <w:t>Unemployment Rate</w:t>
            </w:r>
          </w:p>
        </w:tc>
        <w:tc>
          <w:tcPr>
            <w:tcW w:w="5245" w:type="dxa"/>
          </w:tcPr>
          <w:p w14:paraId="0F267821" w14:textId="77777777" w:rsidR="0088572B" w:rsidRPr="00FF04A6" w:rsidRDefault="0088572B" w:rsidP="00797831">
            <w:pPr>
              <w:rPr>
                <w:sz w:val="20"/>
                <w:szCs w:val="20"/>
              </w:rPr>
            </w:pPr>
            <w:r w:rsidRPr="00FF04A6">
              <w:rPr>
                <w:sz w:val="20"/>
                <w:szCs w:val="20"/>
              </w:rPr>
              <w:t>4.9% (Q4 2024)</w:t>
            </w:r>
          </w:p>
        </w:tc>
      </w:tr>
      <w:tr w:rsidR="0088572B" w:rsidRPr="00FF04A6" w14:paraId="0669DE74" w14:textId="77777777" w:rsidTr="0088572B">
        <w:trPr>
          <w:trHeight w:val="349"/>
        </w:trPr>
        <w:tc>
          <w:tcPr>
            <w:tcW w:w="5382" w:type="dxa"/>
          </w:tcPr>
          <w:p w14:paraId="6489AA7B" w14:textId="1DE45EC7" w:rsidR="0088572B" w:rsidRPr="00FF04A6" w:rsidRDefault="0088572B" w:rsidP="00797831">
            <w:pPr>
              <w:rPr>
                <w:sz w:val="20"/>
                <w:szCs w:val="20"/>
              </w:rPr>
            </w:pPr>
            <w:r w:rsidRPr="00FF04A6">
              <w:rPr>
                <w:sz w:val="20"/>
                <w:szCs w:val="20"/>
              </w:rPr>
              <w:lastRenderedPageBreak/>
              <w:t>Transport; no. of cyclists crossing the Canal cordon in A</w:t>
            </w:r>
            <w:r w:rsidR="00E30D8E">
              <w:rPr>
                <w:sz w:val="20"/>
                <w:szCs w:val="20"/>
              </w:rPr>
              <w:t>M</w:t>
            </w:r>
            <w:r w:rsidRPr="00FF04A6">
              <w:rPr>
                <w:sz w:val="20"/>
                <w:szCs w:val="20"/>
              </w:rPr>
              <w:t xml:space="preserve"> peak</w:t>
            </w:r>
          </w:p>
        </w:tc>
        <w:tc>
          <w:tcPr>
            <w:tcW w:w="5245" w:type="dxa"/>
          </w:tcPr>
          <w:p w14:paraId="105E22CD" w14:textId="77777777" w:rsidR="0088572B" w:rsidRPr="00FF04A6" w:rsidRDefault="0088572B" w:rsidP="00797831">
            <w:pPr>
              <w:rPr>
                <w:sz w:val="20"/>
                <w:szCs w:val="20"/>
              </w:rPr>
            </w:pPr>
            <w:r w:rsidRPr="00FF04A6">
              <w:rPr>
                <w:sz w:val="20"/>
                <w:szCs w:val="20"/>
              </w:rPr>
              <w:t>10,646</w:t>
            </w:r>
          </w:p>
        </w:tc>
      </w:tr>
      <w:tr w:rsidR="0088572B" w:rsidRPr="00FF04A6" w14:paraId="5AA763A6" w14:textId="77777777" w:rsidTr="0088572B">
        <w:trPr>
          <w:trHeight w:val="349"/>
        </w:trPr>
        <w:tc>
          <w:tcPr>
            <w:tcW w:w="5382" w:type="dxa"/>
          </w:tcPr>
          <w:p w14:paraId="2687C2A9" w14:textId="77777777" w:rsidR="0088572B" w:rsidRPr="00FF04A6" w:rsidRDefault="0088572B" w:rsidP="00797831">
            <w:pPr>
              <w:rPr>
                <w:sz w:val="20"/>
                <w:szCs w:val="20"/>
              </w:rPr>
            </w:pPr>
            <w:r w:rsidRPr="00FF04A6">
              <w:rPr>
                <w:sz w:val="20"/>
                <w:szCs w:val="20"/>
              </w:rPr>
              <w:t>Mercer’s 2024 Quality of Living city ranking</w:t>
            </w:r>
          </w:p>
        </w:tc>
        <w:tc>
          <w:tcPr>
            <w:tcW w:w="5245" w:type="dxa"/>
          </w:tcPr>
          <w:p w14:paraId="4143A1EA" w14:textId="77777777" w:rsidR="0088572B" w:rsidRPr="00FF04A6" w:rsidRDefault="0088572B" w:rsidP="00797831">
            <w:pPr>
              <w:rPr>
                <w:sz w:val="20"/>
                <w:szCs w:val="20"/>
              </w:rPr>
            </w:pPr>
            <w:r w:rsidRPr="00FF04A6">
              <w:rPr>
                <w:sz w:val="20"/>
                <w:szCs w:val="20"/>
              </w:rPr>
              <w:t>26</w:t>
            </w:r>
            <w:r w:rsidRPr="00FF04A6">
              <w:rPr>
                <w:sz w:val="20"/>
                <w:szCs w:val="20"/>
                <w:vertAlign w:val="superscript"/>
              </w:rPr>
              <w:t>th</w:t>
            </w:r>
            <w:r w:rsidRPr="00FF04A6">
              <w:rPr>
                <w:sz w:val="20"/>
                <w:szCs w:val="20"/>
              </w:rPr>
              <w:t xml:space="preserve"> in Western Europe</w:t>
            </w:r>
          </w:p>
        </w:tc>
      </w:tr>
      <w:tr w:rsidR="0088572B" w:rsidRPr="00FF04A6" w14:paraId="6FBD3F7B" w14:textId="77777777" w:rsidTr="0088572B">
        <w:trPr>
          <w:trHeight w:val="349"/>
        </w:trPr>
        <w:tc>
          <w:tcPr>
            <w:tcW w:w="5382" w:type="dxa"/>
          </w:tcPr>
          <w:p w14:paraId="62A6C8BF" w14:textId="77777777" w:rsidR="0088572B" w:rsidRPr="00FF04A6" w:rsidRDefault="0088572B" w:rsidP="00797831">
            <w:pPr>
              <w:rPr>
                <w:sz w:val="20"/>
                <w:szCs w:val="20"/>
              </w:rPr>
            </w:pPr>
            <w:r w:rsidRPr="00FF04A6">
              <w:rPr>
                <w:sz w:val="20"/>
                <w:szCs w:val="20"/>
              </w:rPr>
              <w:t>Cost of living</w:t>
            </w:r>
          </w:p>
        </w:tc>
        <w:tc>
          <w:tcPr>
            <w:tcW w:w="5245" w:type="dxa"/>
          </w:tcPr>
          <w:p w14:paraId="33702160" w14:textId="688ED7F4" w:rsidR="0088572B" w:rsidRPr="00FF04A6" w:rsidRDefault="0088572B" w:rsidP="00797831">
            <w:pPr>
              <w:rPr>
                <w:sz w:val="20"/>
                <w:szCs w:val="20"/>
              </w:rPr>
            </w:pPr>
            <w:r w:rsidRPr="00FF04A6">
              <w:rPr>
                <w:sz w:val="20"/>
                <w:szCs w:val="20"/>
              </w:rPr>
              <w:t>19</w:t>
            </w:r>
            <w:r w:rsidRPr="00FF04A6">
              <w:rPr>
                <w:sz w:val="20"/>
                <w:szCs w:val="20"/>
                <w:vertAlign w:val="superscript"/>
              </w:rPr>
              <w:t>th</w:t>
            </w:r>
            <w:r w:rsidRPr="00FF04A6">
              <w:rPr>
                <w:sz w:val="20"/>
                <w:szCs w:val="20"/>
              </w:rPr>
              <w:t xml:space="preserve"> most expensive </w:t>
            </w:r>
            <w:r w:rsidR="00745111">
              <w:rPr>
                <w:sz w:val="20"/>
                <w:szCs w:val="20"/>
              </w:rPr>
              <w:t>c</w:t>
            </w:r>
            <w:r w:rsidRPr="00FF04A6">
              <w:rPr>
                <w:sz w:val="20"/>
                <w:szCs w:val="20"/>
              </w:rPr>
              <w:t>ity in Europe</w:t>
            </w:r>
          </w:p>
        </w:tc>
      </w:tr>
      <w:tr w:rsidR="00B80142" w:rsidRPr="00FF04A6" w14:paraId="4D5BDD1E" w14:textId="77777777" w:rsidTr="00A51B52">
        <w:trPr>
          <w:trHeight w:val="349"/>
        </w:trPr>
        <w:tc>
          <w:tcPr>
            <w:tcW w:w="10627" w:type="dxa"/>
            <w:gridSpan w:val="2"/>
          </w:tcPr>
          <w:p w14:paraId="758D6B57" w14:textId="77777777" w:rsidR="00B80142" w:rsidRPr="00FF04A6" w:rsidRDefault="00B80142" w:rsidP="00797831">
            <w:pPr>
              <w:rPr>
                <w:sz w:val="20"/>
                <w:szCs w:val="20"/>
              </w:rPr>
            </w:pPr>
          </w:p>
        </w:tc>
      </w:tr>
      <w:tr w:rsidR="0088572B" w:rsidRPr="00FF04A6" w14:paraId="23103F68" w14:textId="77777777" w:rsidTr="0088572B">
        <w:trPr>
          <w:trHeight w:val="349"/>
        </w:trPr>
        <w:tc>
          <w:tcPr>
            <w:tcW w:w="5382" w:type="dxa"/>
            <w:shd w:val="clear" w:color="auto" w:fill="D9D9D9" w:themeFill="background1" w:themeFillShade="D9"/>
          </w:tcPr>
          <w:p w14:paraId="4A394932" w14:textId="0CBB2E46" w:rsidR="0088572B" w:rsidRPr="00FF04A6" w:rsidRDefault="0088572B" w:rsidP="00797831">
            <w:pPr>
              <w:rPr>
                <w:sz w:val="20"/>
                <w:szCs w:val="20"/>
              </w:rPr>
            </w:pPr>
            <w:r w:rsidRPr="00FF04A6">
              <w:rPr>
                <w:sz w:val="20"/>
                <w:szCs w:val="20"/>
              </w:rPr>
              <w:t>Within S</w:t>
            </w:r>
            <w:r w:rsidR="00E30D8E">
              <w:rPr>
                <w:sz w:val="20"/>
                <w:szCs w:val="20"/>
              </w:rPr>
              <w:t>trategic Development Regeneration Area</w:t>
            </w:r>
            <w:r w:rsidRPr="00FF04A6">
              <w:rPr>
                <w:sz w:val="20"/>
                <w:szCs w:val="20"/>
              </w:rPr>
              <w:t>s alone</w:t>
            </w:r>
          </w:p>
          <w:p w14:paraId="12B9D237" w14:textId="77777777" w:rsidR="0088572B" w:rsidRPr="00FF04A6" w:rsidRDefault="0088572B" w:rsidP="00797831">
            <w:pPr>
              <w:rPr>
                <w:sz w:val="20"/>
                <w:szCs w:val="20"/>
              </w:rPr>
            </w:pPr>
          </w:p>
        </w:tc>
        <w:tc>
          <w:tcPr>
            <w:tcW w:w="5245" w:type="dxa"/>
            <w:shd w:val="clear" w:color="auto" w:fill="D9D9D9" w:themeFill="background1" w:themeFillShade="D9"/>
          </w:tcPr>
          <w:p w14:paraId="7DC253A8" w14:textId="77777777" w:rsidR="0088572B" w:rsidRPr="00FF04A6" w:rsidRDefault="0088572B" w:rsidP="00797831">
            <w:pPr>
              <w:rPr>
                <w:sz w:val="20"/>
                <w:szCs w:val="20"/>
              </w:rPr>
            </w:pPr>
            <w:r w:rsidRPr="00FF04A6">
              <w:rPr>
                <w:sz w:val="20"/>
                <w:szCs w:val="20"/>
              </w:rPr>
              <w:t>Relevant Figure</w:t>
            </w:r>
          </w:p>
        </w:tc>
      </w:tr>
      <w:tr w:rsidR="0088572B" w:rsidRPr="00FF04A6" w14:paraId="5E29124B" w14:textId="77777777" w:rsidTr="0088572B">
        <w:trPr>
          <w:trHeight w:val="349"/>
        </w:trPr>
        <w:tc>
          <w:tcPr>
            <w:tcW w:w="5382" w:type="dxa"/>
          </w:tcPr>
          <w:p w14:paraId="415D377F" w14:textId="77777777" w:rsidR="0088572B" w:rsidRPr="00FF04A6" w:rsidRDefault="0088572B" w:rsidP="00797831">
            <w:pPr>
              <w:rPr>
                <w:sz w:val="20"/>
                <w:szCs w:val="20"/>
              </w:rPr>
            </w:pPr>
            <w:r w:rsidRPr="00FF04A6">
              <w:rPr>
                <w:sz w:val="20"/>
                <w:szCs w:val="20"/>
              </w:rPr>
              <w:t>No. of valid applications received</w:t>
            </w:r>
          </w:p>
        </w:tc>
        <w:tc>
          <w:tcPr>
            <w:tcW w:w="5245" w:type="dxa"/>
          </w:tcPr>
          <w:p w14:paraId="3026DE40" w14:textId="77777777" w:rsidR="0088572B" w:rsidRPr="00FF04A6" w:rsidRDefault="0088572B" w:rsidP="00797831">
            <w:pPr>
              <w:rPr>
                <w:sz w:val="20"/>
                <w:szCs w:val="20"/>
              </w:rPr>
            </w:pPr>
            <w:r w:rsidRPr="00FF04A6">
              <w:rPr>
                <w:sz w:val="20"/>
                <w:szCs w:val="20"/>
              </w:rPr>
              <w:t>332</w:t>
            </w:r>
          </w:p>
        </w:tc>
      </w:tr>
      <w:tr w:rsidR="0088572B" w:rsidRPr="00FF04A6" w14:paraId="0FE59A13" w14:textId="77777777" w:rsidTr="0088572B">
        <w:trPr>
          <w:trHeight w:val="349"/>
        </w:trPr>
        <w:tc>
          <w:tcPr>
            <w:tcW w:w="5382" w:type="dxa"/>
          </w:tcPr>
          <w:p w14:paraId="68AFA74D" w14:textId="77777777" w:rsidR="0088572B" w:rsidRPr="00FF04A6" w:rsidRDefault="0088572B" w:rsidP="00797831">
            <w:pPr>
              <w:rPr>
                <w:sz w:val="20"/>
                <w:szCs w:val="20"/>
              </w:rPr>
            </w:pPr>
            <w:r w:rsidRPr="00FF04A6">
              <w:rPr>
                <w:sz w:val="20"/>
                <w:szCs w:val="20"/>
              </w:rPr>
              <w:t>Grants of permission for residential development</w:t>
            </w:r>
          </w:p>
        </w:tc>
        <w:tc>
          <w:tcPr>
            <w:tcW w:w="5245" w:type="dxa"/>
          </w:tcPr>
          <w:p w14:paraId="35B22FEE" w14:textId="77777777" w:rsidR="0088572B" w:rsidRPr="00FF04A6" w:rsidRDefault="0088572B" w:rsidP="00797831">
            <w:pPr>
              <w:rPr>
                <w:sz w:val="20"/>
                <w:szCs w:val="20"/>
              </w:rPr>
            </w:pPr>
            <w:r w:rsidRPr="00FF04A6">
              <w:rPr>
                <w:sz w:val="20"/>
                <w:szCs w:val="20"/>
              </w:rPr>
              <w:t>53</w:t>
            </w:r>
          </w:p>
        </w:tc>
      </w:tr>
      <w:tr w:rsidR="0088572B" w:rsidRPr="00FF04A6" w14:paraId="4E5BEFC1" w14:textId="77777777" w:rsidTr="0088572B">
        <w:trPr>
          <w:trHeight w:val="349"/>
        </w:trPr>
        <w:tc>
          <w:tcPr>
            <w:tcW w:w="5382" w:type="dxa"/>
          </w:tcPr>
          <w:p w14:paraId="765491DB" w14:textId="4E9E3177" w:rsidR="0088572B" w:rsidRPr="00FF04A6" w:rsidRDefault="0088572B" w:rsidP="00797831">
            <w:pPr>
              <w:rPr>
                <w:sz w:val="20"/>
                <w:szCs w:val="20"/>
              </w:rPr>
            </w:pPr>
            <w:r w:rsidRPr="00FF04A6">
              <w:rPr>
                <w:sz w:val="20"/>
                <w:szCs w:val="20"/>
              </w:rPr>
              <w:t>Sq</w:t>
            </w:r>
            <w:r w:rsidR="003450C1">
              <w:rPr>
                <w:sz w:val="20"/>
                <w:szCs w:val="20"/>
              </w:rPr>
              <w:t>.</w:t>
            </w:r>
            <w:r w:rsidRPr="00FF04A6">
              <w:rPr>
                <w:sz w:val="20"/>
                <w:szCs w:val="20"/>
              </w:rPr>
              <w:t xml:space="preserve"> m of office space granted permission</w:t>
            </w:r>
          </w:p>
        </w:tc>
        <w:tc>
          <w:tcPr>
            <w:tcW w:w="5245" w:type="dxa"/>
          </w:tcPr>
          <w:p w14:paraId="256C7F4A" w14:textId="77777777" w:rsidR="0088572B" w:rsidRPr="00FF04A6" w:rsidRDefault="0088572B" w:rsidP="00797831">
            <w:pPr>
              <w:rPr>
                <w:sz w:val="20"/>
                <w:szCs w:val="20"/>
              </w:rPr>
            </w:pPr>
            <w:r w:rsidRPr="00FF04A6">
              <w:rPr>
                <w:bCs/>
                <w:sz w:val="20"/>
                <w:szCs w:val="20"/>
              </w:rPr>
              <w:t>126,496</w:t>
            </w:r>
          </w:p>
        </w:tc>
      </w:tr>
      <w:tr w:rsidR="0088572B" w:rsidRPr="00FF04A6" w14:paraId="0BC6C4E4" w14:textId="77777777" w:rsidTr="0088572B">
        <w:trPr>
          <w:trHeight w:val="349"/>
        </w:trPr>
        <w:tc>
          <w:tcPr>
            <w:tcW w:w="5382" w:type="dxa"/>
          </w:tcPr>
          <w:p w14:paraId="3809AFF5" w14:textId="5C41CC96" w:rsidR="0088572B" w:rsidRPr="00FF04A6" w:rsidRDefault="0088572B" w:rsidP="00797831">
            <w:pPr>
              <w:rPr>
                <w:sz w:val="20"/>
                <w:szCs w:val="20"/>
              </w:rPr>
            </w:pPr>
            <w:r w:rsidRPr="00FF04A6">
              <w:rPr>
                <w:sz w:val="20"/>
                <w:szCs w:val="20"/>
              </w:rPr>
              <w:t>Sq. m of retail granted</w:t>
            </w:r>
            <w:r w:rsidR="003450C1">
              <w:rPr>
                <w:sz w:val="20"/>
                <w:szCs w:val="20"/>
              </w:rPr>
              <w:t xml:space="preserve"> permission</w:t>
            </w:r>
          </w:p>
        </w:tc>
        <w:tc>
          <w:tcPr>
            <w:tcW w:w="5245" w:type="dxa"/>
          </w:tcPr>
          <w:p w14:paraId="66B0129B" w14:textId="77777777" w:rsidR="0088572B" w:rsidRPr="00FF04A6" w:rsidRDefault="0088572B" w:rsidP="00797831">
            <w:pPr>
              <w:rPr>
                <w:sz w:val="20"/>
                <w:szCs w:val="20"/>
              </w:rPr>
            </w:pPr>
            <w:r w:rsidRPr="00FF04A6">
              <w:rPr>
                <w:sz w:val="20"/>
                <w:szCs w:val="20"/>
              </w:rPr>
              <w:t>10,038</w:t>
            </w:r>
          </w:p>
        </w:tc>
      </w:tr>
      <w:tr w:rsidR="0088572B" w:rsidRPr="00FF04A6" w14:paraId="070BFB2D" w14:textId="77777777" w:rsidTr="0088572B">
        <w:trPr>
          <w:trHeight w:val="349"/>
        </w:trPr>
        <w:tc>
          <w:tcPr>
            <w:tcW w:w="5382" w:type="dxa"/>
          </w:tcPr>
          <w:p w14:paraId="637C069D" w14:textId="18245714" w:rsidR="0088572B" w:rsidRPr="00FF04A6" w:rsidRDefault="0088572B" w:rsidP="00797831">
            <w:pPr>
              <w:rPr>
                <w:sz w:val="20"/>
                <w:szCs w:val="20"/>
              </w:rPr>
            </w:pPr>
            <w:r w:rsidRPr="00FF04A6">
              <w:rPr>
                <w:sz w:val="20"/>
                <w:szCs w:val="20"/>
              </w:rPr>
              <w:t xml:space="preserve">No. of Residential units </w:t>
            </w:r>
            <w:r w:rsidR="003A3EB9">
              <w:rPr>
                <w:sz w:val="20"/>
                <w:szCs w:val="20"/>
              </w:rPr>
              <w:t>constructed</w:t>
            </w:r>
            <w:r w:rsidRPr="00FF04A6">
              <w:rPr>
                <w:sz w:val="20"/>
                <w:szCs w:val="20"/>
              </w:rPr>
              <w:t xml:space="preserve"> in 2024</w:t>
            </w:r>
          </w:p>
        </w:tc>
        <w:tc>
          <w:tcPr>
            <w:tcW w:w="5245" w:type="dxa"/>
          </w:tcPr>
          <w:p w14:paraId="2816A02F" w14:textId="21B405B2" w:rsidR="0088572B" w:rsidRPr="00FF04A6" w:rsidRDefault="002B6C08" w:rsidP="00797831">
            <w:pPr>
              <w:rPr>
                <w:sz w:val="20"/>
                <w:szCs w:val="20"/>
              </w:rPr>
            </w:pPr>
            <w:r>
              <w:rPr>
                <w:sz w:val="20"/>
                <w:szCs w:val="20"/>
              </w:rPr>
              <w:t>1</w:t>
            </w:r>
            <w:r w:rsidR="008B1913">
              <w:rPr>
                <w:sz w:val="20"/>
                <w:szCs w:val="20"/>
              </w:rPr>
              <w:t>,</w:t>
            </w:r>
            <w:r>
              <w:rPr>
                <w:sz w:val="20"/>
                <w:szCs w:val="20"/>
              </w:rPr>
              <w:t>306</w:t>
            </w:r>
          </w:p>
        </w:tc>
      </w:tr>
    </w:tbl>
    <w:p w14:paraId="16B5F565" w14:textId="77777777" w:rsidR="0088572B" w:rsidRDefault="0088572B" w:rsidP="00A238EE">
      <w:pPr>
        <w:pStyle w:val="TOC1"/>
      </w:pPr>
    </w:p>
    <w:p w14:paraId="0BB8350A" w14:textId="77777777" w:rsidR="0088572B" w:rsidRDefault="0088572B" w:rsidP="00A238EE">
      <w:pPr>
        <w:pStyle w:val="TOC1"/>
      </w:pPr>
    </w:p>
    <w:p w14:paraId="4BA4A447" w14:textId="77777777" w:rsidR="0088572B" w:rsidRDefault="0088572B" w:rsidP="00A238EE">
      <w:pPr>
        <w:pStyle w:val="TOC1"/>
      </w:pPr>
    </w:p>
    <w:bookmarkEnd w:id="0"/>
    <w:p w14:paraId="3F2687E8" w14:textId="77777777" w:rsidR="0088572B" w:rsidRDefault="0088572B" w:rsidP="00A238EE">
      <w:pPr>
        <w:pStyle w:val="TOC1"/>
      </w:pPr>
    </w:p>
    <w:p w14:paraId="4EF8E232" w14:textId="77777777" w:rsidR="0088572B" w:rsidRDefault="0088572B" w:rsidP="00A238EE">
      <w:pPr>
        <w:pStyle w:val="TOC1"/>
      </w:pPr>
    </w:p>
    <w:p w14:paraId="5848198E" w14:textId="77777777" w:rsidR="0088572B" w:rsidRDefault="0088572B" w:rsidP="00A238EE">
      <w:pPr>
        <w:pStyle w:val="TOC1"/>
      </w:pPr>
    </w:p>
    <w:p w14:paraId="3B934D16" w14:textId="77777777" w:rsidR="0088572B" w:rsidRDefault="0088572B" w:rsidP="00A238EE">
      <w:pPr>
        <w:pStyle w:val="TOC1"/>
      </w:pPr>
    </w:p>
    <w:p w14:paraId="4E7609A5" w14:textId="77777777" w:rsidR="0088572B" w:rsidRDefault="0088572B" w:rsidP="00A238EE">
      <w:pPr>
        <w:pStyle w:val="TOC1"/>
      </w:pPr>
    </w:p>
    <w:p w14:paraId="04A4436C" w14:textId="77777777" w:rsidR="0088572B" w:rsidRDefault="0088572B" w:rsidP="00A238EE">
      <w:pPr>
        <w:pStyle w:val="TOC1"/>
      </w:pPr>
    </w:p>
    <w:p w14:paraId="277097F8" w14:textId="77777777" w:rsidR="0088572B" w:rsidRDefault="0088572B" w:rsidP="00A238EE">
      <w:pPr>
        <w:pStyle w:val="TOC1"/>
      </w:pPr>
    </w:p>
    <w:p w14:paraId="26EBFCCD" w14:textId="77777777" w:rsidR="0088572B" w:rsidRDefault="0088572B" w:rsidP="00A238EE">
      <w:pPr>
        <w:pStyle w:val="TOC1"/>
      </w:pPr>
    </w:p>
    <w:p w14:paraId="3D161E6F" w14:textId="77777777" w:rsidR="0088572B" w:rsidRDefault="0088572B" w:rsidP="00A238EE">
      <w:pPr>
        <w:pStyle w:val="TOC1"/>
      </w:pPr>
    </w:p>
    <w:p w14:paraId="01F6D3F6" w14:textId="77777777" w:rsidR="0088572B" w:rsidRDefault="0088572B" w:rsidP="00A238EE">
      <w:pPr>
        <w:pStyle w:val="TOC1"/>
      </w:pPr>
    </w:p>
    <w:p w14:paraId="065B2B17" w14:textId="77777777" w:rsidR="0088572B" w:rsidRDefault="0088572B" w:rsidP="00A238EE">
      <w:pPr>
        <w:pStyle w:val="TOC1"/>
      </w:pPr>
    </w:p>
    <w:p w14:paraId="378E2909" w14:textId="77777777" w:rsidR="0088572B" w:rsidRDefault="0088572B" w:rsidP="00A238EE">
      <w:pPr>
        <w:pStyle w:val="TOC1"/>
      </w:pPr>
    </w:p>
    <w:p w14:paraId="30D1E855" w14:textId="77777777" w:rsidR="0088572B" w:rsidRDefault="0088572B" w:rsidP="00A238EE">
      <w:pPr>
        <w:pStyle w:val="TOC1"/>
      </w:pPr>
    </w:p>
    <w:p w14:paraId="2478CE66" w14:textId="516C3425" w:rsidR="0088572B" w:rsidRDefault="0088572B" w:rsidP="00A238EE">
      <w:pPr>
        <w:pStyle w:val="TOC1"/>
      </w:pPr>
      <w:r w:rsidRPr="00AC532D">
        <w:rPr>
          <w:rFonts w:cs="Arial"/>
          <w:noProof/>
          <w:color w:val="000000"/>
          <w:lang w:eastAsia="en-IE"/>
        </w:rPr>
        <w:lastRenderedPageBreak/>
        <w:drawing>
          <wp:inline distT="0" distB="0" distL="0" distR="0" wp14:anchorId="3F194815" wp14:editId="0350A557">
            <wp:extent cx="2143638" cy="570208"/>
            <wp:effectExtent l="0" t="0" r="0" b="1905"/>
            <wp:docPr id="16" name="Picture 1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background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3638" cy="570208"/>
                    </a:xfrm>
                    <a:prstGeom prst="rect">
                      <a:avLst/>
                    </a:prstGeom>
                    <a:noFill/>
                    <a:ln>
                      <a:noFill/>
                    </a:ln>
                  </pic:spPr>
                </pic:pic>
              </a:graphicData>
            </a:graphic>
          </wp:inline>
        </w:drawing>
      </w:r>
    </w:p>
    <w:p w14:paraId="7878F6CE" w14:textId="77777777" w:rsidR="0088572B" w:rsidRDefault="0088572B" w:rsidP="0088572B">
      <w:pPr>
        <w:pStyle w:val="TOC1"/>
        <w:ind w:left="0" w:firstLine="0"/>
      </w:pPr>
    </w:p>
    <w:p w14:paraId="17AA7ED6" w14:textId="64C1C394" w:rsidR="00A238EE" w:rsidRPr="00B40734" w:rsidRDefault="00A238EE" w:rsidP="00A238EE">
      <w:pPr>
        <w:pStyle w:val="TOC1"/>
        <w:rPr>
          <w:rFonts w:cs="Arial"/>
          <w:b/>
        </w:rPr>
      </w:pPr>
      <w:r w:rsidRPr="00B40734">
        <w:fldChar w:fldCharType="begin"/>
      </w:r>
      <w:r w:rsidRPr="00B40734">
        <w:instrText xml:space="preserve"> TOC \o "1-2" \h \z \u </w:instrText>
      </w:r>
      <w:r w:rsidRPr="00B40734">
        <w:fldChar w:fldCharType="separate"/>
      </w:r>
    </w:p>
    <w:p w14:paraId="02D09E41" w14:textId="77777777" w:rsidR="00A238EE" w:rsidRPr="00B40734" w:rsidRDefault="00A238EE" w:rsidP="00A238EE">
      <w:pPr>
        <w:pBdr>
          <w:top w:val="single" w:sz="4" w:space="1" w:color="auto"/>
        </w:pBdr>
        <w:ind w:right="-46"/>
        <w:jc w:val="left"/>
        <w:rPr>
          <w:rFonts w:cs="Arial"/>
          <w:b/>
          <w:sz w:val="28"/>
          <w:szCs w:val="28"/>
        </w:rPr>
      </w:pPr>
    </w:p>
    <w:p w14:paraId="1853D42B" w14:textId="77777777" w:rsidR="00A238EE" w:rsidRPr="00B40734" w:rsidRDefault="00A238EE" w:rsidP="00A238EE">
      <w:pPr>
        <w:pBdr>
          <w:top w:val="single" w:sz="4" w:space="1" w:color="auto"/>
        </w:pBdr>
        <w:ind w:right="-46"/>
        <w:jc w:val="left"/>
        <w:rPr>
          <w:rFonts w:cs="Arial"/>
          <w:b/>
          <w:sz w:val="24"/>
          <w:szCs w:val="24"/>
        </w:rPr>
      </w:pPr>
      <w:r w:rsidRPr="00B40734">
        <w:rPr>
          <w:rFonts w:cs="Arial"/>
          <w:b/>
          <w:sz w:val="24"/>
          <w:szCs w:val="24"/>
        </w:rPr>
        <w:t>Dublin City Development Plan 2022 – 2028:</w:t>
      </w:r>
    </w:p>
    <w:p w14:paraId="62FF4412" w14:textId="77777777" w:rsidR="00A238EE" w:rsidRPr="00B40734" w:rsidRDefault="00A238EE" w:rsidP="00A238EE">
      <w:pPr>
        <w:pBdr>
          <w:top w:val="single" w:sz="4" w:space="1" w:color="auto"/>
        </w:pBdr>
        <w:ind w:right="-46"/>
        <w:jc w:val="left"/>
        <w:rPr>
          <w:rFonts w:cs="Arial"/>
          <w:b/>
          <w:sz w:val="24"/>
          <w:szCs w:val="24"/>
        </w:rPr>
      </w:pPr>
    </w:p>
    <w:p w14:paraId="75E35E32" w14:textId="0BD58786" w:rsidR="00A238EE" w:rsidRPr="00B40734" w:rsidRDefault="00A238EE" w:rsidP="00A238EE">
      <w:pPr>
        <w:pStyle w:val="TOC2"/>
        <w:ind w:left="0" w:firstLine="0"/>
        <w:rPr>
          <w:rFonts w:asciiTheme="minorHAnsi" w:eastAsiaTheme="minorEastAsia" w:hAnsiTheme="minorHAnsi"/>
          <w:lang w:eastAsia="en-IE"/>
        </w:rPr>
      </w:pPr>
      <w:hyperlink w:anchor="_Toc180058955" w:history="1">
        <w:r w:rsidRPr="00B40734">
          <w:rPr>
            <w:rStyle w:val="Hyperlink"/>
          </w:rPr>
          <w:t>Core Strategy Monitoring report on City Performance Indicators</w:t>
        </w:r>
        <w:r w:rsidR="00B87911">
          <w:rPr>
            <w:rStyle w:val="Hyperlink"/>
          </w:rPr>
          <w:t xml:space="preserve"> - 2024</w:t>
        </w:r>
        <w:r w:rsidRPr="00B40734">
          <w:rPr>
            <w:webHidden/>
          </w:rPr>
          <w:tab/>
        </w:r>
      </w:hyperlink>
    </w:p>
    <w:p w14:paraId="2EA1A771" w14:textId="7BAA1AF3" w:rsidR="00A238EE" w:rsidRPr="00BD0574" w:rsidRDefault="00A238EE" w:rsidP="00BD0574">
      <w:pPr>
        <w:pStyle w:val="TOC2"/>
        <w:ind w:left="0" w:firstLine="0"/>
        <w:rPr>
          <w:b w:val="0"/>
          <w:bCs/>
          <w:sz w:val="22"/>
          <w:szCs w:val="22"/>
        </w:rPr>
      </w:pPr>
    </w:p>
    <w:p w14:paraId="6A80F632" w14:textId="77777777" w:rsidR="00A238EE" w:rsidRPr="00B40734" w:rsidRDefault="00A238EE" w:rsidP="00A238EE"/>
    <w:p w14:paraId="7071B9BF" w14:textId="77777777" w:rsidR="00A238EE" w:rsidRPr="00B40734" w:rsidRDefault="00A238EE" w:rsidP="00A238EE"/>
    <w:tbl>
      <w:tblPr>
        <w:tblStyle w:val="TableGrid"/>
        <w:tblpPr w:leftFromText="180" w:rightFromText="180" w:vertAnchor="text" w:tblpY="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7"/>
        <w:gridCol w:w="8557"/>
      </w:tblGrid>
      <w:tr w:rsidR="00A238EE" w:rsidRPr="00B40734" w14:paraId="516E5D1D" w14:textId="77777777" w:rsidTr="00A238EE">
        <w:tc>
          <w:tcPr>
            <w:tcW w:w="3487" w:type="dxa"/>
            <w:shd w:val="clear" w:color="auto" w:fill="FFFFFF" w:themeFill="background1"/>
          </w:tcPr>
          <w:p w14:paraId="55EFCF91" w14:textId="0A4FACCF" w:rsidR="00A238EE" w:rsidRPr="00B40734" w:rsidRDefault="00A238EE" w:rsidP="00A238EE">
            <w:pPr>
              <w:pStyle w:val="Heading2"/>
              <w:numPr>
                <w:ilvl w:val="0"/>
                <w:numId w:val="0"/>
              </w:numPr>
              <w:jc w:val="right"/>
            </w:pPr>
            <w:r w:rsidRPr="00B40734">
              <w:rPr>
                <w:b w:val="0"/>
              </w:rPr>
              <w:t>Introduction</w:t>
            </w:r>
          </w:p>
        </w:tc>
        <w:tc>
          <w:tcPr>
            <w:tcW w:w="8557" w:type="dxa"/>
            <w:shd w:val="clear" w:color="auto" w:fill="FFFFFF" w:themeFill="background1"/>
          </w:tcPr>
          <w:p w14:paraId="6BFADF31" w14:textId="77777777" w:rsidR="00A238EE" w:rsidRPr="00B40734" w:rsidRDefault="00A238EE" w:rsidP="00A238EE">
            <w:pPr>
              <w:pStyle w:val="Heading2"/>
              <w:numPr>
                <w:ilvl w:val="0"/>
                <w:numId w:val="0"/>
              </w:numPr>
              <w:rPr>
                <w:b w:val="0"/>
              </w:rPr>
            </w:pPr>
            <w:r w:rsidRPr="00B40734">
              <w:rPr>
                <w:b w:val="0"/>
              </w:rPr>
              <w:t>Core Strategy Monitoring report on City Performance Indicators</w:t>
            </w:r>
          </w:p>
          <w:p w14:paraId="12513BC3" w14:textId="77777777" w:rsidR="00A238EE" w:rsidRPr="00B40734" w:rsidRDefault="00A238EE" w:rsidP="00A238EE"/>
        </w:tc>
      </w:tr>
      <w:tr w:rsidR="00A238EE" w:rsidRPr="00B40734" w14:paraId="0396D10D" w14:textId="77777777" w:rsidTr="00A238EE">
        <w:tc>
          <w:tcPr>
            <w:tcW w:w="3487" w:type="dxa"/>
            <w:shd w:val="clear" w:color="auto" w:fill="FFFFFF" w:themeFill="background1"/>
          </w:tcPr>
          <w:p w14:paraId="11F700FF" w14:textId="36091639" w:rsidR="00A238EE" w:rsidRPr="00B40734" w:rsidRDefault="001F6A98" w:rsidP="00A238EE">
            <w:pPr>
              <w:jc w:val="right"/>
            </w:pPr>
            <w:r>
              <w:t>Indicator</w:t>
            </w:r>
            <w:r w:rsidR="00A238EE">
              <w:t xml:space="preserve"> </w:t>
            </w:r>
            <w:r w:rsidR="00A238EE" w:rsidRPr="00B40734">
              <w:t>1</w:t>
            </w:r>
          </w:p>
        </w:tc>
        <w:tc>
          <w:tcPr>
            <w:tcW w:w="8557" w:type="dxa"/>
            <w:shd w:val="clear" w:color="auto" w:fill="FFFFFF" w:themeFill="background1"/>
          </w:tcPr>
          <w:p w14:paraId="4BEDF9D9" w14:textId="77777777" w:rsidR="00A238EE" w:rsidRPr="00B40734" w:rsidRDefault="00A238EE" w:rsidP="00A238EE">
            <w:r w:rsidRPr="00B40734">
              <w:t>Planning Statistics</w:t>
            </w:r>
          </w:p>
        </w:tc>
      </w:tr>
      <w:tr w:rsidR="00A238EE" w:rsidRPr="00B40734" w14:paraId="50D2C6DD" w14:textId="77777777" w:rsidTr="00A238EE">
        <w:tc>
          <w:tcPr>
            <w:tcW w:w="3487" w:type="dxa"/>
            <w:shd w:val="clear" w:color="auto" w:fill="FFFFFF" w:themeFill="background1"/>
          </w:tcPr>
          <w:p w14:paraId="4BDEA3AF" w14:textId="77777777" w:rsidR="00A238EE" w:rsidRPr="00B40734" w:rsidRDefault="00A238EE" w:rsidP="00A238EE">
            <w:pPr>
              <w:jc w:val="right"/>
            </w:pPr>
            <w:r w:rsidRPr="00B40734">
              <w:t>2</w:t>
            </w:r>
          </w:p>
        </w:tc>
        <w:tc>
          <w:tcPr>
            <w:tcW w:w="8557" w:type="dxa"/>
            <w:shd w:val="clear" w:color="auto" w:fill="FFFFFF" w:themeFill="background1"/>
          </w:tcPr>
          <w:p w14:paraId="373A40C0" w14:textId="77777777" w:rsidR="00A238EE" w:rsidRPr="00B40734" w:rsidRDefault="00A238EE" w:rsidP="00A238EE">
            <w:r w:rsidRPr="00B40734">
              <w:t>Housing-related</w:t>
            </w:r>
          </w:p>
        </w:tc>
      </w:tr>
      <w:tr w:rsidR="00A238EE" w:rsidRPr="00B40734" w14:paraId="460F2EA3" w14:textId="77777777" w:rsidTr="00A238EE">
        <w:tc>
          <w:tcPr>
            <w:tcW w:w="3487" w:type="dxa"/>
            <w:shd w:val="clear" w:color="auto" w:fill="FFFFFF" w:themeFill="background1"/>
          </w:tcPr>
          <w:p w14:paraId="4123E035" w14:textId="77777777" w:rsidR="00A238EE" w:rsidRPr="00B40734" w:rsidRDefault="00A238EE" w:rsidP="00A238EE">
            <w:pPr>
              <w:jc w:val="right"/>
            </w:pPr>
            <w:r w:rsidRPr="00B40734">
              <w:t>3</w:t>
            </w:r>
          </w:p>
        </w:tc>
        <w:tc>
          <w:tcPr>
            <w:tcW w:w="8557" w:type="dxa"/>
            <w:shd w:val="clear" w:color="auto" w:fill="FFFFFF" w:themeFill="background1"/>
          </w:tcPr>
          <w:p w14:paraId="185D1584" w14:textId="77777777" w:rsidR="00A238EE" w:rsidRPr="00B40734" w:rsidRDefault="00A238EE" w:rsidP="00A238EE">
            <w:r w:rsidRPr="00B40734">
              <w:t>SDRAs</w:t>
            </w:r>
          </w:p>
        </w:tc>
      </w:tr>
      <w:tr w:rsidR="00A238EE" w:rsidRPr="00B40734" w14:paraId="3AC8DB05" w14:textId="77777777" w:rsidTr="00A238EE">
        <w:tc>
          <w:tcPr>
            <w:tcW w:w="3487" w:type="dxa"/>
            <w:shd w:val="clear" w:color="auto" w:fill="FFFFFF" w:themeFill="background1"/>
          </w:tcPr>
          <w:p w14:paraId="4F7CFA35" w14:textId="77777777" w:rsidR="00A238EE" w:rsidRPr="00B40734" w:rsidRDefault="00A238EE" w:rsidP="00A238EE">
            <w:pPr>
              <w:jc w:val="right"/>
            </w:pPr>
            <w:r w:rsidRPr="00B40734">
              <w:t>4</w:t>
            </w:r>
          </w:p>
        </w:tc>
        <w:tc>
          <w:tcPr>
            <w:tcW w:w="8557" w:type="dxa"/>
            <w:shd w:val="clear" w:color="auto" w:fill="FFFFFF" w:themeFill="background1"/>
          </w:tcPr>
          <w:p w14:paraId="089798AD" w14:textId="77777777" w:rsidR="00A238EE" w:rsidRPr="00B40734" w:rsidRDefault="00A238EE" w:rsidP="00A238EE">
            <w:r w:rsidRPr="00B40734">
              <w:t>Commercial/Employment-related</w:t>
            </w:r>
          </w:p>
        </w:tc>
      </w:tr>
      <w:tr w:rsidR="00A238EE" w:rsidRPr="00B40734" w14:paraId="0C3E9486" w14:textId="77777777" w:rsidTr="00A238EE">
        <w:tc>
          <w:tcPr>
            <w:tcW w:w="3487" w:type="dxa"/>
            <w:shd w:val="clear" w:color="auto" w:fill="FFFFFF" w:themeFill="background1"/>
          </w:tcPr>
          <w:p w14:paraId="4687352B" w14:textId="77777777" w:rsidR="00A238EE" w:rsidRPr="00B40734" w:rsidRDefault="00A238EE" w:rsidP="00A238EE">
            <w:pPr>
              <w:jc w:val="right"/>
            </w:pPr>
            <w:r w:rsidRPr="00B40734">
              <w:t>5</w:t>
            </w:r>
          </w:p>
        </w:tc>
        <w:tc>
          <w:tcPr>
            <w:tcW w:w="8557" w:type="dxa"/>
            <w:shd w:val="clear" w:color="auto" w:fill="FFFFFF" w:themeFill="background1"/>
          </w:tcPr>
          <w:p w14:paraId="4C0F911B" w14:textId="77777777" w:rsidR="00A238EE" w:rsidRPr="00B40734" w:rsidRDefault="00A238EE" w:rsidP="00A238EE">
            <w:r w:rsidRPr="00B40734">
              <w:rPr>
                <w:rFonts w:eastAsia="Times"/>
                <w:lang w:val="en-GB" w:eastAsia="en-IE"/>
              </w:rPr>
              <w:t>Movement and Transport</w:t>
            </w:r>
          </w:p>
        </w:tc>
      </w:tr>
      <w:tr w:rsidR="00A238EE" w:rsidRPr="00B40734" w14:paraId="6F3D9DE9" w14:textId="77777777" w:rsidTr="00A238EE">
        <w:tc>
          <w:tcPr>
            <w:tcW w:w="3487" w:type="dxa"/>
            <w:shd w:val="clear" w:color="auto" w:fill="FFFFFF" w:themeFill="background1"/>
          </w:tcPr>
          <w:p w14:paraId="57D498BE" w14:textId="77777777" w:rsidR="00A238EE" w:rsidRPr="00B40734" w:rsidRDefault="00A238EE" w:rsidP="00A238EE">
            <w:pPr>
              <w:jc w:val="right"/>
            </w:pPr>
            <w:r w:rsidRPr="00B40734">
              <w:t>6</w:t>
            </w:r>
          </w:p>
        </w:tc>
        <w:tc>
          <w:tcPr>
            <w:tcW w:w="8557" w:type="dxa"/>
            <w:shd w:val="clear" w:color="auto" w:fill="FFFFFF" w:themeFill="background1"/>
          </w:tcPr>
          <w:p w14:paraId="11F4967B" w14:textId="77777777" w:rsidR="00A238EE" w:rsidRPr="00B40734" w:rsidRDefault="00A238EE" w:rsidP="00A238EE">
            <w:r w:rsidRPr="00B40734">
              <w:rPr>
                <w:rFonts w:eastAsia="Times"/>
                <w:lang w:val="en-GB" w:eastAsia="en-IE"/>
              </w:rPr>
              <w:t>Tourism and Visitors</w:t>
            </w:r>
          </w:p>
        </w:tc>
      </w:tr>
      <w:tr w:rsidR="00A238EE" w:rsidRPr="00B40734" w14:paraId="325AFE52" w14:textId="77777777" w:rsidTr="00A238EE">
        <w:tc>
          <w:tcPr>
            <w:tcW w:w="3487" w:type="dxa"/>
            <w:shd w:val="clear" w:color="auto" w:fill="FFFFFF" w:themeFill="background1"/>
          </w:tcPr>
          <w:p w14:paraId="29DFDA73" w14:textId="77777777" w:rsidR="00A238EE" w:rsidRPr="00B40734" w:rsidRDefault="00A238EE" w:rsidP="00A238EE">
            <w:pPr>
              <w:jc w:val="right"/>
            </w:pPr>
            <w:r w:rsidRPr="00B40734">
              <w:t>7</w:t>
            </w:r>
          </w:p>
        </w:tc>
        <w:tc>
          <w:tcPr>
            <w:tcW w:w="8557" w:type="dxa"/>
            <w:shd w:val="clear" w:color="auto" w:fill="FFFFFF" w:themeFill="background1"/>
          </w:tcPr>
          <w:p w14:paraId="0BCC2959" w14:textId="77777777" w:rsidR="00A238EE" w:rsidRPr="00B40734" w:rsidRDefault="00A238EE" w:rsidP="00A238EE">
            <w:r w:rsidRPr="00B40734">
              <w:t>Economic</w:t>
            </w:r>
          </w:p>
        </w:tc>
      </w:tr>
      <w:tr w:rsidR="00A238EE" w:rsidRPr="00B40734" w14:paraId="0FD7779E" w14:textId="77777777" w:rsidTr="00A238EE">
        <w:tc>
          <w:tcPr>
            <w:tcW w:w="3487" w:type="dxa"/>
            <w:shd w:val="clear" w:color="auto" w:fill="FFFFFF" w:themeFill="background1"/>
          </w:tcPr>
          <w:p w14:paraId="67DB5219" w14:textId="77777777" w:rsidR="00A238EE" w:rsidRPr="00B40734" w:rsidRDefault="00A238EE" w:rsidP="00A238EE">
            <w:pPr>
              <w:jc w:val="right"/>
            </w:pPr>
            <w:r w:rsidRPr="00B40734">
              <w:t>8</w:t>
            </w:r>
          </w:p>
        </w:tc>
        <w:tc>
          <w:tcPr>
            <w:tcW w:w="8557" w:type="dxa"/>
            <w:shd w:val="clear" w:color="auto" w:fill="FFFFFF" w:themeFill="background1"/>
          </w:tcPr>
          <w:p w14:paraId="63E97FC4" w14:textId="77777777" w:rsidR="00A238EE" w:rsidRPr="00B40734" w:rsidRDefault="00A238EE" w:rsidP="00A238EE">
            <w:r w:rsidRPr="00B40734">
              <w:t>Environmental</w:t>
            </w:r>
          </w:p>
        </w:tc>
      </w:tr>
      <w:tr w:rsidR="00A238EE" w:rsidRPr="00B40734" w14:paraId="040EEA70" w14:textId="77777777" w:rsidTr="00A238EE">
        <w:tc>
          <w:tcPr>
            <w:tcW w:w="3487" w:type="dxa"/>
            <w:shd w:val="clear" w:color="auto" w:fill="FFFFFF" w:themeFill="background1"/>
          </w:tcPr>
          <w:p w14:paraId="5814B413" w14:textId="77777777" w:rsidR="00A238EE" w:rsidRPr="00B40734" w:rsidRDefault="00A238EE" w:rsidP="00A238EE">
            <w:pPr>
              <w:jc w:val="right"/>
            </w:pPr>
          </w:p>
        </w:tc>
        <w:tc>
          <w:tcPr>
            <w:tcW w:w="8557" w:type="dxa"/>
            <w:shd w:val="clear" w:color="auto" w:fill="FFFFFF" w:themeFill="background1"/>
          </w:tcPr>
          <w:p w14:paraId="2D4D2847" w14:textId="77777777" w:rsidR="00A238EE" w:rsidRPr="00B40734" w:rsidRDefault="00A238EE" w:rsidP="00A238EE"/>
        </w:tc>
      </w:tr>
      <w:tr w:rsidR="00A238EE" w:rsidRPr="00B40734" w14:paraId="362F2E29" w14:textId="77777777" w:rsidTr="00A238EE">
        <w:tc>
          <w:tcPr>
            <w:tcW w:w="3487" w:type="dxa"/>
            <w:shd w:val="clear" w:color="auto" w:fill="FFFFFF" w:themeFill="background1"/>
          </w:tcPr>
          <w:p w14:paraId="4B447878" w14:textId="77777777" w:rsidR="00A238EE" w:rsidRPr="00B40734" w:rsidRDefault="00A238EE" w:rsidP="00A238EE">
            <w:pPr>
              <w:jc w:val="right"/>
            </w:pPr>
          </w:p>
        </w:tc>
        <w:tc>
          <w:tcPr>
            <w:tcW w:w="8557" w:type="dxa"/>
            <w:shd w:val="clear" w:color="auto" w:fill="FFFFFF" w:themeFill="background1"/>
          </w:tcPr>
          <w:p w14:paraId="1CCE6CC3" w14:textId="77777777" w:rsidR="00A238EE" w:rsidRPr="00B40734" w:rsidRDefault="00A238EE" w:rsidP="00A238EE"/>
        </w:tc>
      </w:tr>
      <w:tr w:rsidR="00A238EE" w:rsidRPr="00B40734" w14:paraId="449BBCFF" w14:textId="77777777" w:rsidTr="00A238EE">
        <w:tc>
          <w:tcPr>
            <w:tcW w:w="3487" w:type="dxa"/>
            <w:shd w:val="clear" w:color="auto" w:fill="FFFFFF" w:themeFill="background1"/>
          </w:tcPr>
          <w:p w14:paraId="4B0AB303" w14:textId="77777777" w:rsidR="00A238EE" w:rsidRPr="00B40734" w:rsidRDefault="00A238EE" w:rsidP="00CC5D0F">
            <w:pPr>
              <w:jc w:val="right"/>
            </w:pPr>
            <w:r w:rsidRPr="00B40734">
              <w:t>Appendices</w:t>
            </w:r>
          </w:p>
        </w:tc>
        <w:tc>
          <w:tcPr>
            <w:tcW w:w="8557" w:type="dxa"/>
            <w:shd w:val="clear" w:color="auto" w:fill="FFFFFF" w:themeFill="background1"/>
          </w:tcPr>
          <w:p w14:paraId="748244F1" w14:textId="60D61BE2" w:rsidR="00A238EE" w:rsidRPr="00B40734" w:rsidRDefault="00A238EE" w:rsidP="00A238EE">
            <w:r w:rsidRPr="00B40734">
              <w:t>1.   City Performance Indicator 1(d</w:t>
            </w:r>
            <w:r w:rsidR="00746FF8" w:rsidRPr="00B40734">
              <w:t>);</w:t>
            </w:r>
            <w:r w:rsidRPr="00B40734">
              <w:t xml:space="preserve"> Vacant Land Study Update</w:t>
            </w:r>
            <w:r w:rsidRPr="00B40734">
              <w:rPr>
                <w:webHidden/>
              </w:rPr>
              <w:tab/>
            </w:r>
          </w:p>
        </w:tc>
      </w:tr>
      <w:tr w:rsidR="00A238EE" w:rsidRPr="00B40734" w14:paraId="222427FD" w14:textId="77777777" w:rsidTr="00A238EE">
        <w:tc>
          <w:tcPr>
            <w:tcW w:w="3487" w:type="dxa"/>
            <w:shd w:val="clear" w:color="auto" w:fill="FFFFFF" w:themeFill="background1"/>
          </w:tcPr>
          <w:p w14:paraId="25AE6EC3" w14:textId="77777777" w:rsidR="00A238EE" w:rsidRPr="00B40734" w:rsidRDefault="00A238EE" w:rsidP="00A238EE"/>
        </w:tc>
        <w:tc>
          <w:tcPr>
            <w:tcW w:w="8557" w:type="dxa"/>
            <w:shd w:val="clear" w:color="auto" w:fill="FFFFFF" w:themeFill="background1"/>
          </w:tcPr>
          <w:p w14:paraId="2FDBE670" w14:textId="2C90D85E" w:rsidR="00A238EE" w:rsidRPr="00B40734" w:rsidRDefault="00A238EE" w:rsidP="00A238EE">
            <w:r w:rsidRPr="00B40734">
              <w:t>2.   City Performance Indicator 7(d</w:t>
            </w:r>
            <w:r w:rsidR="00746FF8" w:rsidRPr="00B40734">
              <w:t>);</w:t>
            </w:r>
            <w:r w:rsidRPr="00B40734">
              <w:t xml:space="preserve"> Dublin’s International Rankings</w:t>
            </w:r>
          </w:p>
        </w:tc>
      </w:tr>
      <w:tr w:rsidR="00A238EE" w:rsidRPr="00B40734" w14:paraId="2214EF20" w14:textId="77777777" w:rsidTr="00A238EE">
        <w:tc>
          <w:tcPr>
            <w:tcW w:w="3487" w:type="dxa"/>
            <w:shd w:val="clear" w:color="auto" w:fill="FFFFFF" w:themeFill="background1"/>
          </w:tcPr>
          <w:p w14:paraId="601ECB75" w14:textId="77777777" w:rsidR="00A238EE" w:rsidRPr="00B40734" w:rsidRDefault="00A238EE" w:rsidP="00A238EE"/>
        </w:tc>
        <w:tc>
          <w:tcPr>
            <w:tcW w:w="8557" w:type="dxa"/>
            <w:shd w:val="clear" w:color="auto" w:fill="FFFFFF" w:themeFill="background1"/>
          </w:tcPr>
          <w:p w14:paraId="18702A56" w14:textId="050C7019" w:rsidR="00A238EE" w:rsidRPr="00B40734" w:rsidRDefault="00A238EE" w:rsidP="00A238EE">
            <w:r w:rsidRPr="00B40734">
              <w:t>3.   City Performance Indicator 1(e</w:t>
            </w:r>
            <w:r w:rsidR="00746FF8" w:rsidRPr="00B40734">
              <w:t>);</w:t>
            </w:r>
            <w:r w:rsidRPr="00B40734">
              <w:t xml:space="preserve"> URDF Funding Received</w:t>
            </w:r>
          </w:p>
        </w:tc>
      </w:tr>
      <w:tr w:rsidR="00BE350F" w:rsidRPr="00B40734" w14:paraId="5D943038" w14:textId="77777777" w:rsidTr="00A238EE">
        <w:tc>
          <w:tcPr>
            <w:tcW w:w="3487" w:type="dxa"/>
            <w:shd w:val="clear" w:color="auto" w:fill="FFFFFF" w:themeFill="background1"/>
          </w:tcPr>
          <w:p w14:paraId="6FA5FD87" w14:textId="77777777" w:rsidR="00BE350F" w:rsidRPr="00B40734" w:rsidRDefault="00BE350F" w:rsidP="00A238EE"/>
        </w:tc>
        <w:tc>
          <w:tcPr>
            <w:tcW w:w="8557" w:type="dxa"/>
            <w:shd w:val="clear" w:color="auto" w:fill="FFFFFF" w:themeFill="background1"/>
          </w:tcPr>
          <w:p w14:paraId="4DFC27EB" w14:textId="77777777" w:rsidR="00BE350F" w:rsidRPr="00B40734" w:rsidRDefault="00BE350F" w:rsidP="00A238EE"/>
        </w:tc>
      </w:tr>
      <w:tr w:rsidR="00BE350F" w:rsidRPr="00B40734" w14:paraId="1CE1B424" w14:textId="77777777" w:rsidTr="00A238EE">
        <w:tc>
          <w:tcPr>
            <w:tcW w:w="3487" w:type="dxa"/>
            <w:shd w:val="clear" w:color="auto" w:fill="FFFFFF" w:themeFill="background1"/>
          </w:tcPr>
          <w:p w14:paraId="3E9989F7" w14:textId="27B5E2BC" w:rsidR="00BE350F" w:rsidRPr="00B40734" w:rsidRDefault="00BE350F" w:rsidP="00BE350F">
            <w:pPr>
              <w:jc w:val="right"/>
            </w:pPr>
            <w:r>
              <w:t>Conclusion</w:t>
            </w:r>
          </w:p>
        </w:tc>
        <w:tc>
          <w:tcPr>
            <w:tcW w:w="8557" w:type="dxa"/>
            <w:shd w:val="clear" w:color="auto" w:fill="FFFFFF" w:themeFill="background1"/>
          </w:tcPr>
          <w:p w14:paraId="234EB0CF" w14:textId="1060E418" w:rsidR="00BE350F" w:rsidRPr="00B40734" w:rsidRDefault="00BE350F" w:rsidP="00A238EE">
            <w:r>
              <w:t>Trends identified and next steps in the process</w:t>
            </w:r>
          </w:p>
        </w:tc>
      </w:tr>
    </w:tbl>
    <w:p w14:paraId="182655DA" w14:textId="77777777" w:rsidR="00A238EE" w:rsidRPr="00B40734" w:rsidRDefault="00A238EE" w:rsidP="00A238EE">
      <w:pPr>
        <w:pStyle w:val="Heading1"/>
        <w:numPr>
          <w:ilvl w:val="0"/>
          <w:numId w:val="0"/>
        </w:numPr>
        <w:jc w:val="left"/>
        <w:rPr>
          <w:b w:val="0"/>
        </w:rPr>
      </w:pPr>
    </w:p>
    <w:p w14:paraId="11B83AA7" w14:textId="77777777" w:rsidR="00A238EE" w:rsidRPr="00B40734" w:rsidRDefault="00A238EE" w:rsidP="00A238EE">
      <w:pPr>
        <w:pStyle w:val="Heading1"/>
        <w:numPr>
          <w:ilvl w:val="0"/>
          <w:numId w:val="0"/>
        </w:numPr>
        <w:jc w:val="left"/>
        <w:rPr>
          <w:b w:val="0"/>
        </w:rPr>
      </w:pPr>
    </w:p>
    <w:p w14:paraId="63AEE3D2" w14:textId="77777777" w:rsidR="00A238EE" w:rsidRPr="00B40734" w:rsidRDefault="00A238EE" w:rsidP="00A238EE">
      <w:pPr>
        <w:pStyle w:val="Heading1"/>
        <w:numPr>
          <w:ilvl w:val="0"/>
          <w:numId w:val="0"/>
        </w:numPr>
        <w:jc w:val="left"/>
        <w:rPr>
          <w:b w:val="0"/>
        </w:rPr>
      </w:pPr>
    </w:p>
    <w:p w14:paraId="4766D03F" w14:textId="77777777" w:rsidR="00A238EE" w:rsidRPr="00B40734" w:rsidRDefault="00A238EE" w:rsidP="00A238EE">
      <w:pPr>
        <w:pStyle w:val="Heading1"/>
        <w:numPr>
          <w:ilvl w:val="0"/>
          <w:numId w:val="0"/>
        </w:numPr>
        <w:jc w:val="left"/>
        <w:rPr>
          <w:b w:val="0"/>
        </w:rPr>
      </w:pPr>
    </w:p>
    <w:p w14:paraId="4E4FDC60" w14:textId="77777777" w:rsidR="00A238EE" w:rsidRPr="00B40734" w:rsidRDefault="00A238EE" w:rsidP="00A238EE">
      <w:pPr>
        <w:pStyle w:val="Heading1"/>
        <w:numPr>
          <w:ilvl w:val="0"/>
          <w:numId w:val="0"/>
        </w:numPr>
        <w:jc w:val="left"/>
        <w:rPr>
          <w:b w:val="0"/>
        </w:rPr>
      </w:pPr>
    </w:p>
    <w:p w14:paraId="68C62065" w14:textId="77777777" w:rsidR="00A238EE" w:rsidRPr="00B40734" w:rsidRDefault="00A238EE" w:rsidP="00A238EE">
      <w:pPr>
        <w:pStyle w:val="Heading1"/>
        <w:numPr>
          <w:ilvl w:val="0"/>
          <w:numId w:val="0"/>
        </w:numPr>
        <w:jc w:val="left"/>
        <w:rPr>
          <w:b w:val="0"/>
        </w:rPr>
      </w:pPr>
    </w:p>
    <w:p w14:paraId="13D5B483" w14:textId="77777777" w:rsidR="00A238EE" w:rsidRPr="00B40734" w:rsidRDefault="00A238EE" w:rsidP="00A238EE">
      <w:pPr>
        <w:pStyle w:val="Heading1"/>
        <w:numPr>
          <w:ilvl w:val="0"/>
          <w:numId w:val="0"/>
        </w:numPr>
        <w:jc w:val="left"/>
        <w:rPr>
          <w:b w:val="0"/>
        </w:rPr>
      </w:pPr>
    </w:p>
    <w:p w14:paraId="087AB5B3" w14:textId="77777777" w:rsidR="00A238EE" w:rsidRPr="00B40734" w:rsidRDefault="00A238EE" w:rsidP="00A238EE">
      <w:pPr>
        <w:pStyle w:val="Heading1"/>
        <w:numPr>
          <w:ilvl w:val="0"/>
          <w:numId w:val="0"/>
        </w:numPr>
        <w:jc w:val="left"/>
        <w:rPr>
          <w:b w:val="0"/>
        </w:rPr>
      </w:pPr>
    </w:p>
    <w:p w14:paraId="669938AA" w14:textId="77777777" w:rsidR="00A238EE" w:rsidRPr="00B40734" w:rsidRDefault="00A238EE" w:rsidP="00A238EE">
      <w:pPr>
        <w:pStyle w:val="Heading1"/>
        <w:numPr>
          <w:ilvl w:val="0"/>
          <w:numId w:val="0"/>
        </w:numPr>
        <w:jc w:val="left"/>
        <w:rPr>
          <w:b w:val="0"/>
        </w:rPr>
      </w:pPr>
    </w:p>
    <w:p w14:paraId="1F1FCB25" w14:textId="77777777" w:rsidR="00A238EE" w:rsidRPr="00B40734" w:rsidRDefault="00A238EE" w:rsidP="00A238EE">
      <w:pPr>
        <w:pStyle w:val="Heading1"/>
        <w:numPr>
          <w:ilvl w:val="0"/>
          <w:numId w:val="0"/>
        </w:numPr>
        <w:jc w:val="left"/>
        <w:rPr>
          <w:b w:val="0"/>
        </w:rPr>
      </w:pPr>
    </w:p>
    <w:p w14:paraId="21C107CF" w14:textId="77777777" w:rsidR="00A238EE" w:rsidRPr="00B40734" w:rsidRDefault="00A238EE" w:rsidP="00A238EE">
      <w:pPr>
        <w:pStyle w:val="Heading1"/>
        <w:numPr>
          <w:ilvl w:val="0"/>
          <w:numId w:val="0"/>
        </w:numPr>
        <w:jc w:val="left"/>
        <w:rPr>
          <w:b w:val="0"/>
        </w:rPr>
      </w:pPr>
    </w:p>
    <w:p w14:paraId="055560FA" w14:textId="77777777" w:rsidR="00A238EE" w:rsidRDefault="00A238EE" w:rsidP="00A238EE">
      <w:pPr>
        <w:pStyle w:val="Heading1"/>
        <w:numPr>
          <w:ilvl w:val="0"/>
          <w:numId w:val="0"/>
        </w:numPr>
        <w:jc w:val="left"/>
        <w:rPr>
          <w:b w:val="0"/>
        </w:rPr>
      </w:pPr>
    </w:p>
    <w:p w14:paraId="377602F4" w14:textId="77777777" w:rsidR="00A238EE" w:rsidRPr="00B40734" w:rsidRDefault="00A238EE" w:rsidP="00A238EE">
      <w:pPr>
        <w:pStyle w:val="Heading1"/>
        <w:numPr>
          <w:ilvl w:val="0"/>
          <w:numId w:val="0"/>
        </w:numPr>
        <w:jc w:val="left"/>
        <w:rPr>
          <w:b w:val="0"/>
        </w:rPr>
      </w:pPr>
    </w:p>
    <w:p w14:paraId="455C23F5" w14:textId="77777777" w:rsidR="00A238EE" w:rsidRPr="00B40734" w:rsidRDefault="00A238EE" w:rsidP="00A238EE">
      <w:pPr>
        <w:pStyle w:val="Heading1"/>
        <w:numPr>
          <w:ilvl w:val="0"/>
          <w:numId w:val="0"/>
        </w:numPr>
        <w:jc w:val="left"/>
        <w:rPr>
          <w:b w:val="0"/>
        </w:rPr>
      </w:pPr>
    </w:p>
    <w:p w14:paraId="7ADC3542" w14:textId="77777777" w:rsidR="00A238EE" w:rsidRPr="00B40734" w:rsidRDefault="00A238EE" w:rsidP="00A238EE">
      <w:pPr>
        <w:pStyle w:val="Heading1"/>
        <w:numPr>
          <w:ilvl w:val="0"/>
          <w:numId w:val="0"/>
        </w:numPr>
        <w:jc w:val="left"/>
        <w:rPr>
          <w:b w:val="0"/>
        </w:rPr>
      </w:pPr>
    </w:p>
    <w:p w14:paraId="6CF41B36" w14:textId="77777777"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r w:rsidRPr="00DC4656">
        <w:rPr>
          <w:sz w:val="18"/>
          <w:szCs w:val="18"/>
        </w:rPr>
        <w:fldChar w:fldCharType="begin"/>
      </w:r>
      <w:r w:rsidRPr="00DC4656">
        <w:rPr>
          <w:sz w:val="18"/>
          <w:szCs w:val="18"/>
        </w:rPr>
        <w:instrText xml:space="preserve"> TOC \h \z \c "Table" </w:instrText>
      </w:r>
      <w:r w:rsidRPr="00DC4656">
        <w:rPr>
          <w:sz w:val="18"/>
          <w:szCs w:val="18"/>
        </w:rPr>
        <w:fldChar w:fldCharType="separate"/>
      </w:r>
    </w:p>
    <w:p w14:paraId="1F87DD40" w14:textId="77777777" w:rsidR="00EA1553" w:rsidRDefault="00EA1553" w:rsidP="00A238EE">
      <w:pPr>
        <w:pStyle w:val="TableofFigures"/>
        <w:tabs>
          <w:tab w:val="right" w:pos="6615"/>
        </w:tabs>
        <w:ind w:rightChars="567" w:right="1247"/>
        <w:jc w:val="left"/>
        <w:rPr>
          <w:sz w:val="18"/>
          <w:szCs w:val="18"/>
        </w:rPr>
      </w:pPr>
    </w:p>
    <w:p w14:paraId="4DF382C4" w14:textId="77777777" w:rsidR="00BE350F" w:rsidRPr="00BE350F" w:rsidRDefault="00BE350F" w:rsidP="00BE350F"/>
    <w:p w14:paraId="030924EB" w14:textId="77777777" w:rsidR="001312B2" w:rsidRPr="00DC4656" w:rsidRDefault="001312B2" w:rsidP="001312B2"/>
    <w:p w14:paraId="16B39544" w14:textId="77777777" w:rsidR="001312B2" w:rsidRPr="00DC4656" w:rsidRDefault="001312B2" w:rsidP="001312B2"/>
    <w:p w14:paraId="6E87C17D" w14:textId="77777777" w:rsidR="001312B2" w:rsidRPr="00DC4656" w:rsidRDefault="001312B2" w:rsidP="001312B2"/>
    <w:p w14:paraId="6BC4D8BB" w14:textId="3EA37337" w:rsidR="00A238EE" w:rsidRPr="00DC4656" w:rsidRDefault="00A238EE" w:rsidP="00A238EE">
      <w:pPr>
        <w:pStyle w:val="TableofFigures"/>
        <w:tabs>
          <w:tab w:val="right" w:pos="6615"/>
        </w:tabs>
        <w:ind w:rightChars="567" w:right="1247"/>
        <w:jc w:val="left"/>
        <w:rPr>
          <w:sz w:val="18"/>
          <w:szCs w:val="18"/>
        </w:rPr>
      </w:pPr>
      <w:r w:rsidRPr="00DC4656">
        <w:rPr>
          <w:sz w:val="18"/>
          <w:szCs w:val="18"/>
        </w:rPr>
        <w:t>Tables and Figures</w:t>
      </w:r>
    </w:p>
    <w:p w14:paraId="79BB7059" w14:textId="77777777" w:rsidR="00A238EE" w:rsidRPr="00DC4656" w:rsidRDefault="00A238EE" w:rsidP="00A238EE">
      <w:pPr>
        <w:pStyle w:val="TableofFigures"/>
        <w:tabs>
          <w:tab w:val="right" w:pos="6615"/>
        </w:tabs>
        <w:ind w:rightChars="567" w:right="1247"/>
        <w:jc w:val="left"/>
        <w:rPr>
          <w:sz w:val="18"/>
          <w:szCs w:val="18"/>
        </w:rPr>
      </w:pPr>
    </w:p>
    <w:p w14:paraId="3F7DE15A" w14:textId="77777777" w:rsidR="00246057" w:rsidRPr="00DC4656" w:rsidRDefault="00A238EE" w:rsidP="00246057">
      <w:pPr>
        <w:pStyle w:val="TableofFigures"/>
        <w:tabs>
          <w:tab w:val="right" w:pos="6615"/>
        </w:tabs>
        <w:ind w:rightChars="567" w:right="1247"/>
        <w:jc w:val="left"/>
      </w:pPr>
      <w:hyperlink w:anchor="_Toc180059279" w:history="1">
        <w:r w:rsidRPr="00DC4656">
          <w:rPr>
            <w:rStyle w:val="Hyperlink"/>
            <w:noProof/>
            <w:sz w:val="18"/>
            <w:szCs w:val="18"/>
          </w:rPr>
          <w:t xml:space="preserve">Table 1: Permissions </w:t>
        </w:r>
        <w:r w:rsidR="00B87911" w:rsidRPr="00DC4656">
          <w:rPr>
            <w:rStyle w:val="Hyperlink"/>
            <w:noProof/>
            <w:sz w:val="18"/>
            <w:szCs w:val="18"/>
          </w:rPr>
          <w:t>g</w:t>
        </w:r>
        <w:r w:rsidRPr="00DC4656">
          <w:rPr>
            <w:rStyle w:val="Hyperlink"/>
            <w:noProof/>
            <w:sz w:val="18"/>
            <w:szCs w:val="18"/>
          </w:rPr>
          <w:t xml:space="preserve">ranted by no. of </w:t>
        </w:r>
        <w:r w:rsidR="00B87911" w:rsidRPr="00DC4656">
          <w:rPr>
            <w:rStyle w:val="Hyperlink"/>
            <w:noProof/>
            <w:sz w:val="18"/>
            <w:szCs w:val="18"/>
          </w:rPr>
          <w:t>b</w:t>
        </w:r>
        <w:r w:rsidRPr="00DC4656">
          <w:rPr>
            <w:rStyle w:val="Hyperlink"/>
            <w:noProof/>
            <w:sz w:val="18"/>
            <w:szCs w:val="18"/>
          </w:rPr>
          <w:t>edrooms</w:t>
        </w:r>
        <w:r w:rsidRPr="00DC4656">
          <w:rPr>
            <w:noProof/>
            <w:webHidden/>
            <w:sz w:val="18"/>
            <w:szCs w:val="18"/>
          </w:rPr>
          <w:tab/>
        </w:r>
      </w:hyperlink>
    </w:p>
    <w:p w14:paraId="6174668B" w14:textId="1A20299E" w:rsidR="00246057" w:rsidRPr="00DC4656" w:rsidRDefault="00246057" w:rsidP="00246057">
      <w:pPr>
        <w:rPr>
          <w:sz w:val="18"/>
          <w:szCs w:val="18"/>
        </w:rPr>
      </w:pPr>
      <w:r w:rsidRPr="00DC4656">
        <w:rPr>
          <w:sz w:val="18"/>
          <w:szCs w:val="18"/>
        </w:rPr>
        <w:t>Table 2:</w:t>
      </w:r>
      <w:r w:rsidR="004E0010" w:rsidRPr="00DC4656">
        <w:rPr>
          <w:sz w:val="18"/>
          <w:szCs w:val="18"/>
        </w:rPr>
        <w:t xml:space="preserve"> </w:t>
      </w:r>
      <w:r w:rsidR="004E0010" w:rsidRPr="00DC4656">
        <w:rPr>
          <w:rFonts w:eastAsia="Calibri" w:cs="Arial"/>
          <w:sz w:val="18"/>
          <w:szCs w:val="18"/>
        </w:rPr>
        <w:t>Units completed in 2024 by unit type</w:t>
      </w:r>
    </w:p>
    <w:p w14:paraId="371B886A" w14:textId="6A3A70A4" w:rsidR="00246057" w:rsidRPr="00DC4656" w:rsidRDefault="00A238EE" w:rsidP="00246057">
      <w:pPr>
        <w:pStyle w:val="TableofFigures"/>
        <w:tabs>
          <w:tab w:val="right" w:pos="6615"/>
        </w:tabs>
        <w:ind w:rightChars="567" w:right="1247"/>
        <w:jc w:val="left"/>
      </w:pPr>
      <w:hyperlink w:anchor="_Toc180059280" w:history="1">
        <w:r w:rsidRPr="00DC4656">
          <w:rPr>
            <w:rStyle w:val="Hyperlink"/>
            <w:rFonts w:eastAsia="Calibri" w:cstheme="minorHAnsi"/>
            <w:bCs/>
            <w:noProof/>
            <w:sz w:val="18"/>
            <w:szCs w:val="18"/>
          </w:rPr>
          <w:t xml:space="preserve">Table </w:t>
        </w:r>
        <w:r w:rsidR="00246057" w:rsidRPr="00DC4656">
          <w:rPr>
            <w:rStyle w:val="Hyperlink"/>
            <w:rFonts w:eastAsia="Calibri" w:cstheme="minorHAnsi"/>
            <w:bCs/>
            <w:noProof/>
            <w:sz w:val="18"/>
            <w:szCs w:val="18"/>
          </w:rPr>
          <w:t>3</w:t>
        </w:r>
        <w:r w:rsidRPr="00DC4656">
          <w:rPr>
            <w:rStyle w:val="Hyperlink"/>
            <w:rFonts w:eastAsia="Calibri" w:cstheme="minorHAnsi"/>
            <w:bCs/>
            <w:noProof/>
            <w:sz w:val="18"/>
            <w:szCs w:val="18"/>
          </w:rPr>
          <w:t xml:space="preserve">: </w:t>
        </w:r>
        <w:r w:rsidR="003D1906" w:rsidRPr="00DC4656">
          <w:rPr>
            <w:rFonts w:cs="Arial"/>
            <w:sz w:val="18"/>
            <w:szCs w:val="18"/>
          </w:rPr>
          <w:t>Reduced residential capacity calculation (no. units)</w:t>
        </w:r>
        <w:r w:rsidRPr="00DC4656">
          <w:rPr>
            <w:noProof/>
            <w:webHidden/>
            <w:sz w:val="18"/>
            <w:szCs w:val="18"/>
          </w:rPr>
          <w:tab/>
        </w:r>
      </w:hyperlink>
    </w:p>
    <w:p w14:paraId="5BAAAEBC" w14:textId="0D1CA29C"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hyperlink w:anchor="_Toc180059281" w:history="1">
        <w:r w:rsidRPr="00DC4656">
          <w:rPr>
            <w:rStyle w:val="Hyperlink"/>
            <w:rFonts w:eastAsia="Calibri" w:cstheme="minorHAnsi"/>
            <w:bCs/>
            <w:noProof/>
            <w:sz w:val="18"/>
            <w:szCs w:val="18"/>
          </w:rPr>
          <w:t xml:space="preserve">Table </w:t>
        </w:r>
        <w:r w:rsidR="00246057" w:rsidRPr="00DC4656">
          <w:rPr>
            <w:rStyle w:val="Hyperlink"/>
            <w:rFonts w:eastAsia="Calibri" w:cstheme="minorHAnsi"/>
            <w:bCs/>
            <w:noProof/>
            <w:sz w:val="18"/>
            <w:szCs w:val="18"/>
          </w:rPr>
          <w:t>4</w:t>
        </w:r>
        <w:r w:rsidRPr="00DC4656">
          <w:rPr>
            <w:rStyle w:val="Hyperlink"/>
            <w:rFonts w:eastAsia="Calibri" w:cstheme="minorHAnsi"/>
            <w:bCs/>
            <w:noProof/>
            <w:sz w:val="18"/>
            <w:szCs w:val="18"/>
          </w:rPr>
          <w:t xml:space="preserve">: </w:t>
        </w:r>
        <w:r w:rsidR="00DC4656" w:rsidRPr="00DC4656">
          <w:rPr>
            <w:rFonts w:cs="Arial"/>
            <w:bCs/>
            <w:sz w:val="18"/>
            <w:szCs w:val="18"/>
          </w:rPr>
          <w:t xml:space="preserve">Remaining </w:t>
        </w:r>
        <w:r w:rsidR="00623DAB">
          <w:rPr>
            <w:rFonts w:cs="Arial"/>
            <w:bCs/>
            <w:sz w:val="18"/>
            <w:szCs w:val="18"/>
          </w:rPr>
          <w:t xml:space="preserve">Residential </w:t>
        </w:r>
        <w:r w:rsidR="00DC4656" w:rsidRPr="00DC4656">
          <w:rPr>
            <w:rFonts w:cs="Arial"/>
            <w:bCs/>
            <w:sz w:val="18"/>
            <w:szCs w:val="18"/>
          </w:rPr>
          <w:t>Capacity</w:t>
        </w:r>
        <w:r w:rsidR="00623DAB">
          <w:rPr>
            <w:rFonts w:cs="Arial"/>
            <w:bCs/>
            <w:sz w:val="18"/>
            <w:szCs w:val="18"/>
          </w:rPr>
          <w:t>.</w:t>
        </w:r>
        <w:r w:rsidR="00DC4656" w:rsidRPr="00DC4656">
          <w:rPr>
            <w:rStyle w:val="Hyperlink"/>
            <w:rFonts w:eastAsia="Calibri" w:cstheme="minorHAnsi"/>
            <w:bCs/>
            <w:noProof/>
            <w:sz w:val="18"/>
            <w:szCs w:val="18"/>
          </w:rPr>
          <w:t xml:space="preserve">   </w:t>
        </w:r>
        <w:r w:rsidRPr="00DC4656">
          <w:rPr>
            <w:noProof/>
            <w:webHidden/>
            <w:sz w:val="18"/>
            <w:szCs w:val="18"/>
          </w:rPr>
          <w:tab/>
        </w:r>
      </w:hyperlink>
    </w:p>
    <w:p w14:paraId="3DFE4C79" w14:textId="6593A0C9"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hyperlink w:anchor="_Toc180059282" w:history="1">
        <w:r w:rsidRPr="00DC4656">
          <w:rPr>
            <w:rStyle w:val="Hyperlink"/>
            <w:rFonts w:eastAsia="Calibri" w:cstheme="minorHAnsi"/>
            <w:bCs/>
            <w:noProof/>
            <w:sz w:val="18"/>
            <w:szCs w:val="18"/>
          </w:rPr>
          <w:t xml:space="preserve">Table </w:t>
        </w:r>
        <w:r w:rsidR="00246057" w:rsidRPr="00DC4656">
          <w:rPr>
            <w:rStyle w:val="Hyperlink"/>
            <w:rFonts w:eastAsia="Calibri" w:cstheme="minorHAnsi"/>
            <w:bCs/>
            <w:noProof/>
            <w:sz w:val="18"/>
            <w:szCs w:val="18"/>
          </w:rPr>
          <w:t>5</w:t>
        </w:r>
        <w:r w:rsidRPr="00DC4656">
          <w:rPr>
            <w:rStyle w:val="Hyperlink"/>
            <w:rFonts w:eastAsia="Calibri" w:cstheme="minorHAnsi"/>
            <w:bCs/>
            <w:noProof/>
            <w:sz w:val="18"/>
            <w:szCs w:val="18"/>
          </w:rPr>
          <w:t xml:space="preserve">: </w:t>
        </w:r>
        <w:r w:rsidR="00DC4656" w:rsidRPr="00DC4656">
          <w:rPr>
            <w:rStyle w:val="Hyperlink"/>
            <w:rFonts w:eastAsia="Calibri" w:cstheme="minorHAnsi"/>
            <w:bCs/>
            <w:noProof/>
            <w:sz w:val="18"/>
            <w:szCs w:val="18"/>
          </w:rPr>
          <w:t>Total number of valid planning applications received per SDRA in 2024</w:t>
        </w:r>
        <w:r w:rsidR="003D1906" w:rsidRPr="00DC4656">
          <w:rPr>
            <w:rStyle w:val="Hyperlink"/>
            <w:rFonts w:eastAsia="Calibri" w:cstheme="minorHAnsi"/>
            <w:bCs/>
            <w:noProof/>
            <w:sz w:val="18"/>
            <w:szCs w:val="18"/>
          </w:rPr>
          <w:t xml:space="preserve">  </w:t>
        </w:r>
        <w:r w:rsidRPr="00DC4656">
          <w:rPr>
            <w:noProof/>
            <w:webHidden/>
            <w:sz w:val="18"/>
            <w:szCs w:val="18"/>
          </w:rPr>
          <w:tab/>
        </w:r>
      </w:hyperlink>
    </w:p>
    <w:p w14:paraId="7B1A206C" w14:textId="51A82DC2" w:rsidR="00246057" w:rsidRPr="00DC4656" w:rsidRDefault="00A238EE" w:rsidP="00246057">
      <w:pPr>
        <w:pStyle w:val="TableofFigures"/>
        <w:tabs>
          <w:tab w:val="right" w:pos="6615"/>
        </w:tabs>
        <w:ind w:rightChars="567" w:right="1247"/>
        <w:jc w:val="left"/>
      </w:pPr>
      <w:hyperlink w:anchor="_Toc180059283" w:history="1">
        <w:r w:rsidRPr="00DC4656">
          <w:rPr>
            <w:rStyle w:val="Hyperlink"/>
            <w:rFonts w:eastAsia="Calibri" w:cstheme="minorHAnsi"/>
            <w:bCs/>
            <w:noProof/>
            <w:sz w:val="18"/>
            <w:szCs w:val="18"/>
          </w:rPr>
          <w:t xml:space="preserve">Table </w:t>
        </w:r>
        <w:r w:rsidR="00246057" w:rsidRPr="00DC4656">
          <w:rPr>
            <w:rStyle w:val="Hyperlink"/>
            <w:rFonts w:eastAsia="Calibri" w:cstheme="minorHAnsi"/>
            <w:bCs/>
            <w:noProof/>
            <w:sz w:val="18"/>
            <w:szCs w:val="18"/>
          </w:rPr>
          <w:t>6</w:t>
        </w:r>
        <w:r w:rsidRPr="00DC4656">
          <w:rPr>
            <w:rStyle w:val="Hyperlink"/>
            <w:rFonts w:eastAsia="Calibri" w:cstheme="minorHAnsi"/>
            <w:bCs/>
            <w:noProof/>
            <w:sz w:val="18"/>
            <w:szCs w:val="18"/>
          </w:rPr>
          <w:t xml:space="preserve">: </w:t>
        </w:r>
        <w:r w:rsidR="00DC4656" w:rsidRPr="00DC4656">
          <w:rPr>
            <w:rStyle w:val="Hyperlink"/>
            <w:rFonts w:eastAsia="Calibri" w:cstheme="minorHAnsi"/>
            <w:bCs/>
            <w:noProof/>
            <w:sz w:val="18"/>
            <w:szCs w:val="18"/>
          </w:rPr>
          <w:t>Residential Development; grants of permission per SDRA, 2024</w:t>
        </w:r>
        <w:r w:rsidR="003D1906" w:rsidRPr="00DC4656">
          <w:rPr>
            <w:rStyle w:val="Hyperlink"/>
            <w:rFonts w:eastAsia="Calibri" w:cstheme="minorHAnsi"/>
            <w:bCs/>
            <w:noProof/>
            <w:sz w:val="18"/>
            <w:szCs w:val="18"/>
          </w:rPr>
          <w:t xml:space="preserve">   </w:t>
        </w:r>
        <w:r w:rsidRPr="00DC4656">
          <w:rPr>
            <w:noProof/>
            <w:webHidden/>
            <w:sz w:val="18"/>
            <w:szCs w:val="18"/>
          </w:rPr>
          <w:tab/>
        </w:r>
      </w:hyperlink>
    </w:p>
    <w:p w14:paraId="29EAC785" w14:textId="2DC4F05E"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hyperlink w:anchor="_Toc180059284" w:history="1">
        <w:r w:rsidRPr="00DC4656">
          <w:rPr>
            <w:rStyle w:val="Hyperlink"/>
            <w:rFonts w:eastAsia="Calibri" w:cstheme="minorHAnsi"/>
            <w:bCs/>
            <w:noProof/>
            <w:sz w:val="18"/>
            <w:szCs w:val="18"/>
          </w:rPr>
          <w:t xml:space="preserve">Table </w:t>
        </w:r>
        <w:r w:rsidR="00246057" w:rsidRPr="00DC4656">
          <w:rPr>
            <w:rStyle w:val="Hyperlink"/>
            <w:rFonts w:eastAsia="Calibri" w:cstheme="minorHAnsi"/>
            <w:bCs/>
            <w:noProof/>
            <w:sz w:val="18"/>
            <w:szCs w:val="18"/>
          </w:rPr>
          <w:t>7</w:t>
        </w:r>
        <w:r w:rsidRPr="00DC4656">
          <w:rPr>
            <w:rStyle w:val="Hyperlink"/>
            <w:rFonts w:eastAsia="Calibri" w:cstheme="minorHAnsi"/>
            <w:bCs/>
            <w:noProof/>
            <w:sz w:val="18"/>
            <w:szCs w:val="18"/>
          </w:rPr>
          <w:t xml:space="preserve">: </w:t>
        </w:r>
        <w:r w:rsidR="00DC4656" w:rsidRPr="00DC4656">
          <w:rPr>
            <w:rStyle w:val="Hyperlink"/>
            <w:rFonts w:eastAsia="Calibri" w:cstheme="minorHAnsi"/>
            <w:bCs/>
            <w:noProof/>
            <w:sz w:val="18"/>
            <w:szCs w:val="18"/>
          </w:rPr>
          <w:t xml:space="preserve">Office Development; grants of Permission per SDRA, 2024 </w:t>
        </w:r>
        <w:r w:rsidRPr="00DC4656">
          <w:rPr>
            <w:noProof/>
            <w:webHidden/>
            <w:sz w:val="18"/>
            <w:szCs w:val="18"/>
          </w:rPr>
          <w:tab/>
        </w:r>
      </w:hyperlink>
    </w:p>
    <w:p w14:paraId="09ECE2B7" w14:textId="36FB26B5"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hyperlink w:anchor="_Toc180059286" w:history="1">
        <w:r w:rsidRPr="00DC4656">
          <w:rPr>
            <w:rStyle w:val="Hyperlink"/>
            <w:rFonts w:eastAsia="Calibri" w:cstheme="minorHAnsi"/>
            <w:bCs/>
            <w:noProof/>
            <w:sz w:val="18"/>
            <w:szCs w:val="18"/>
          </w:rPr>
          <w:t xml:space="preserve">Table </w:t>
        </w:r>
        <w:r w:rsidR="009821B2" w:rsidRPr="00DC4656">
          <w:rPr>
            <w:rStyle w:val="Hyperlink"/>
            <w:rFonts w:eastAsia="Calibri" w:cstheme="minorHAnsi"/>
            <w:bCs/>
            <w:noProof/>
            <w:sz w:val="18"/>
            <w:szCs w:val="18"/>
          </w:rPr>
          <w:t>8</w:t>
        </w:r>
        <w:r w:rsidRPr="00DC4656">
          <w:rPr>
            <w:rStyle w:val="Hyperlink"/>
            <w:rFonts w:eastAsia="Calibri" w:cstheme="minorHAnsi"/>
            <w:bCs/>
            <w:noProof/>
            <w:sz w:val="18"/>
            <w:szCs w:val="18"/>
          </w:rPr>
          <w:t xml:space="preserve">: </w:t>
        </w:r>
        <w:r w:rsidR="00DC4656" w:rsidRPr="00DC4656">
          <w:rPr>
            <w:rStyle w:val="Hyperlink"/>
            <w:rFonts w:eastAsia="Calibri" w:cstheme="minorHAnsi"/>
            <w:bCs/>
            <w:noProof/>
            <w:sz w:val="18"/>
            <w:szCs w:val="18"/>
          </w:rPr>
          <w:t xml:space="preserve">Retail grants of permission per SDRA, 2024  </w:t>
        </w:r>
        <w:r w:rsidRPr="00DC4656">
          <w:rPr>
            <w:noProof/>
            <w:webHidden/>
            <w:sz w:val="18"/>
            <w:szCs w:val="18"/>
          </w:rPr>
          <w:tab/>
        </w:r>
      </w:hyperlink>
    </w:p>
    <w:p w14:paraId="5FC24F02" w14:textId="62CFF7E0"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hyperlink w:anchor="_Toc180059287" w:history="1">
        <w:r w:rsidRPr="00DC4656">
          <w:rPr>
            <w:rStyle w:val="Hyperlink"/>
            <w:rFonts w:eastAsia="Calibri" w:cstheme="minorHAnsi"/>
            <w:bCs/>
            <w:noProof/>
            <w:sz w:val="18"/>
            <w:szCs w:val="18"/>
          </w:rPr>
          <w:t xml:space="preserve">Table </w:t>
        </w:r>
        <w:r w:rsidR="009821B2" w:rsidRPr="00DC4656">
          <w:rPr>
            <w:rStyle w:val="Hyperlink"/>
            <w:rFonts w:eastAsia="Calibri" w:cstheme="minorHAnsi"/>
            <w:bCs/>
            <w:noProof/>
            <w:sz w:val="18"/>
            <w:szCs w:val="18"/>
          </w:rPr>
          <w:t>9</w:t>
        </w:r>
        <w:r w:rsidRPr="00DC4656">
          <w:rPr>
            <w:rStyle w:val="Hyperlink"/>
            <w:rFonts w:eastAsia="Calibri" w:cstheme="minorHAnsi"/>
            <w:bCs/>
            <w:noProof/>
            <w:sz w:val="18"/>
            <w:szCs w:val="18"/>
          </w:rPr>
          <w:t xml:space="preserve">: </w:t>
        </w:r>
        <w:r w:rsidR="00DC4656" w:rsidRPr="00DC4656">
          <w:rPr>
            <w:rStyle w:val="Hyperlink"/>
            <w:rFonts w:eastAsia="Calibri" w:cstheme="minorHAnsi"/>
            <w:bCs/>
            <w:noProof/>
            <w:sz w:val="18"/>
            <w:szCs w:val="18"/>
          </w:rPr>
          <w:t>Commercial grants of permission per SDRA, 2024</w:t>
        </w:r>
        <w:r w:rsidRPr="00DC4656">
          <w:rPr>
            <w:noProof/>
            <w:webHidden/>
            <w:sz w:val="18"/>
            <w:szCs w:val="18"/>
          </w:rPr>
          <w:tab/>
        </w:r>
      </w:hyperlink>
    </w:p>
    <w:p w14:paraId="3C5DF956" w14:textId="0B651542" w:rsidR="00A238EE" w:rsidRPr="00DC4656" w:rsidRDefault="00A238EE" w:rsidP="00A238EE">
      <w:pPr>
        <w:pStyle w:val="TableofFigures"/>
        <w:tabs>
          <w:tab w:val="right" w:pos="6615"/>
        </w:tabs>
        <w:ind w:left="567" w:rightChars="567" w:right="1247" w:hanging="567"/>
        <w:contextualSpacing/>
        <w:jc w:val="left"/>
        <w:rPr>
          <w:sz w:val="18"/>
          <w:szCs w:val="18"/>
        </w:rPr>
      </w:pPr>
      <w:r w:rsidRPr="00DC4656">
        <w:rPr>
          <w:sz w:val="18"/>
          <w:szCs w:val="18"/>
        </w:rPr>
        <w:fldChar w:fldCharType="end"/>
      </w:r>
      <w:r w:rsidR="003D1906" w:rsidRPr="00DC4656">
        <w:rPr>
          <w:sz w:val="18"/>
          <w:szCs w:val="18"/>
        </w:rPr>
        <w:t xml:space="preserve">Table 10; </w:t>
      </w:r>
      <w:r w:rsidR="00DC4656" w:rsidRPr="00DC4656">
        <w:rPr>
          <w:sz w:val="18"/>
          <w:szCs w:val="18"/>
        </w:rPr>
        <w:t xml:space="preserve">City centre pedestrian counts, 2024 </w:t>
      </w:r>
    </w:p>
    <w:p w14:paraId="033C6B9F" w14:textId="5CAED106" w:rsidR="00DC4656" w:rsidRPr="00DC4656" w:rsidRDefault="00DC4656" w:rsidP="00DC4656">
      <w:pPr>
        <w:pStyle w:val="TableofFigures"/>
        <w:tabs>
          <w:tab w:val="right" w:pos="6615"/>
        </w:tabs>
        <w:ind w:left="567" w:rightChars="567" w:right="1247" w:hanging="567"/>
        <w:contextualSpacing/>
        <w:jc w:val="left"/>
        <w:rPr>
          <w:sz w:val="18"/>
          <w:szCs w:val="18"/>
        </w:rPr>
      </w:pPr>
      <w:r w:rsidRPr="00DC4656">
        <w:rPr>
          <w:sz w:val="18"/>
          <w:szCs w:val="18"/>
        </w:rPr>
        <w:t>Table 11; Air quality monitoring samples</w:t>
      </w:r>
    </w:p>
    <w:p w14:paraId="7C332A83" w14:textId="3FF95E98"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r w:rsidRPr="00DC4656">
        <w:rPr>
          <w:sz w:val="18"/>
          <w:szCs w:val="18"/>
        </w:rPr>
        <w:fldChar w:fldCharType="begin"/>
      </w:r>
      <w:r w:rsidRPr="00DC4656">
        <w:rPr>
          <w:sz w:val="18"/>
          <w:szCs w:val="18"/>
        </w:rPr>
        <w:instrText xml:space="preserve"> TOC \h \z \c "Figure" </w:instrText>
      </w:r>
      <w:r w:rsidRPr="00DC4656">
        <w:rPr>
          <w:sz w:val="18"/>
          <w:szCs w:val="18"/>
        </w:rPr>
        <w:fldChar w:fldCharType="separate"/>
      </w:r>
    </w:p>
    <w:p w14:paraId="51F2CE5D" w14:textId="18E65DF7" w:rsidR="00A238EE" w:rsidRPr="00DC4656" w:rsidRDefault="00A238EE" w:rsidP="00A238EE">
      <w:pPr>
        <w:pStyle w:val="TableofFigures"/>
        <w:tabs>
          <w:tab w:val="right" w:pos="6615"/>
        </w:tabs>
        <w:ind w:rightChars="567" w:right="1247"/>
        <w:jc w:val="left"/>
        <w:rPr>
          <w:rFonts w:asciiTheme="minorHAnsi" w:eastAsiaTheme="minorEastAsia" w:hAnsiTheme="minorHAnsi"/>
          <w:noProof/>
          <w:sz w:val="18"/>
          <w:szCs w:val="18"/>
          <w:lang w:eastAsia="en-IE"/>
        </w:rPr>
      </w:pPr>
      <w:hyperlink w:anchor="_Toc180059475" w:history="1">
        <w:r w:rsidRPr="00DC4656">
          <w:rPr>
            <w:rStyle w:val="Hyperlink"/>
            <w:noProof/>
            <w:sz w:val="18"/>
            <w:szCs w:val="18"/>
          </w:rPr>
          <w:t xml:space="preserve">Figure 1: </w:t>
        </w:r>
        <w:r w:rsidRPr="00DC4656">
          <w:rPr>
            <w:rStyle w:val="Hyperlink"/>
            <w:rFonts w:eastAsia="Calibri" w:cstheme="minorHAnsi"/>
            <w:bCs/>
            <w:noProof/>
            <w:sz w:val="18"/>
            <w:szCs w:val="18"/>
          </w:rPr>
          <w:t xml:space="preserve">Dublin </w:t>
        </w:r>
        <w:r w:rsidR="00E26909">
          <w:rPr>
            <w:rStyle w:val="Hyperlink"/>
            <w:rFonts w:eastAsia="Calibri" w:cstheme="minorHAnsi"/>
            <w:bCs/>
            <w:noProof/>
            <w:sz w:val="18"/>
            <w:szCs w:val="18"/>
          </w:rPr>
          <w:t>C</w:t>
        </w:r>
        <w:r w:rsidRPr="00DC4656">
          <w:rPr>
            <w:rStyle w:val="Hyperlink"/>
            <w:rFonts w:eastAsia="Calibri" w:cstheme="minorHAnsi"/>
            <w:bCs/>
            <w:noProof/>
            <w:sz w:val="18"/>
            <w:szCs w:val="18"/>
          </w:rPr>
          <w:t xml:space="preserve">ity </w:t>
        </w:r>
        <w:r w:rsidR="00B87911" w:rsidRPr="00DC4656">
          <w:rPr>
            <w:rStyle w:val="Hyperlink"/>
            <w:rFonts w:eastAsia="Calibri" w:cstheme="minorHAnsi"/>
            <w:bCs/>
            <w:noProof/>
            <w:sz w:val="18"/>
            <w:szCs w:val="18"/>
          </w:rPr>
          <w:t>n</w:t>
        </w:r>
        <w:r w:rsidRPr="00DC4656">
          <w:rPr>
            <w:rStyle w:val="Hyperlink"/>
            <w:rFonts w:eastAsia="Calibri" w:cstheme="minorHAnsi"/>
            <w:bCs/>
            <w:noProof/>
            <w:sz w:val="18"/>
            <w:szCs w:val="18"/>
          </w:rPr>
          <w:t xml:space="preserve">oise </w:t>
        </w:r>
        <w:r w:rsidR="00B87911" w:rsidRPr="00DC4656">
          <w:rPr>
            <w:rStyle w:val="Hyperlink"/>
            <w:rFonts w:eastAsia="Calibri" w:cstheme="minorHAnsi"/>
            <w:bCs/>
            <w:noProof/>
            <w:sz w:val="18"/>
            <w:szCs w:val="18"/>
          </w:rPr>
          <w:t>r</w:t>
        </w:r>
        <w:r w:rsidRPr="00DC4656">
          <w:rPr>
            <w:rStyle w:val="Hyperlink"/>
            <w:rFonts w:eastAsia="Calibri" w:cstheme="minorHAnsi"/>
            <w:bCs/>
            <w:noProof/>
            <w:sz w:val="18"/>
            <w:szCs w:val="18"/>
          </w:rPr>
          <w:t>ating</w:t>
        </w:r>
        <w:r w:rsidRPr="00DC4656">
          <w:rPr>
            <w:noProof/>
            <w:webHidden/>
            <w:sz w:val="18"/>
            <w:szCs w:val="18"/>
          </w:rPr>
          <w:tab/>
        </w:r>
      </w:hyperlink>
    </w:p>
    <w:p w14:paraId="66278580" w14:textId="77777777" w:rsidR="00B87911" w:rsidRDefault="00A238EE" w:rsidP="00A238EE">
      <w:pPr>
        <w:ind w:left="567" w:rightChars="567" w:right="1247" w:hanging="567"/>
        <w:contextualSpacing/>
        <w:jc w:val="left"/>
        <w:rPr>
          <w:sz w:val="18"/>
          <w:szCs w:val="18"/>
        </w:rPr>
      </w:pPr>
      <w:r w:rsidRPr="00DC4656">
        <w:rPr>
          <w:sz w:val="18"/>
          <w:szCs w:val="18"/>
        </w:rPr>
        <w:fldChar w:fldCharType="end"/>
      </w:r>
    </w:p>
    <w:p w14:paraId="0F3A1235" w14:textId="5D4FD391" w:rsidR="00A238EE" w:rsidRPr="00D26CEF" w:rsidRDefault="00A238EE" w:rsidP="00D26CEF">
      <w:pPr>
        <w:ind w:left="567" w:rightChars="567" w:right="1247" w:hanging="567"/>
        <w:contextualSpacing/>
        <w:jc w:val="left"/>
      </w:pPr>
      <w:r w:rsidRPr="00B40734">
        <w:br w:type="page"/>
      </w:r>
    </w:p>
    <w:p w14:paraId="41D941D6" w14:textId="77777777" w:rsidR="00A238EE" w:rsidRPr="00B40734" w:rsidRDefault="00A238EE" w:rsidP="00A238EE">
      <w:pPr>
        <w:spacing w:after="160"/>
        <w:ind w:leftChars="322" w:left="1559" w:rightChars="567" w:right="1247" w:hanging="851"/>
        <w:jc w:val="left"/>
        <w:sectPr w:rsidR="00A238EE" w:rsidRPr="00B40734" w:rsidSect="00A238EE">
          <w:footerReference w:type="default" r:id="rId9"/>
          <w:type w:val="continuous"/>
          <w:pgSz w:w="16838" w:h="11906" w:orient="landscape"/>
          <w:pgMar w:top="1440" w:right="1440" w:bottom="1440" w:left="1440" w:header="708" w:footer="708" w:gutter="0"/>
          <w:cols w:space="708"/>
          <w:docGrid w:linePitch="360"/>
        </w:sectPr>
      </w:pPr>
      <w:r w:rsidRPr="00B40734">
        <w:lastRenderedPageBreak/>
        <w:fldChar w:fldCharType="end"/>
      </w:r>
    </w:p>
    <w:p w14:paraId="46BF8CA1" w14:textId="77777777" w:rsidR="00A238EE" w:rsidRPr="00B40734" w:rsidRDefault="00A238EE" w:rsidP="00A238EE">
      <w:pPr>
        <w:pStyle w:val="Heading1"/>
        <w:numPr>
          <w:ilvl w:val="0"/>
          <w:numId w:val="0"/>
        </w:numPr>
        <w:jc w:val="left"/>
        <w:rPr>
          <w:b w:val="0"/>
        </w:rPr>
        <w:sectPr w:rsidR="00A238EE" w:rsidRPr="00B40734" w:rsidSect="00A238EE">
          <w:headerReference w:type="first" r:id="rId10"/>
          <w:type w:val="continuous"/>
          <w:pgSz w:w="16838" w:h="11906" w:orient="landscape"/>
          <w:pgMar w:top="1440" w:right="1440" w:bottom="1440" w:left="1440" w:header="708" w:footer="708" w:gutter="0"/>
          <w:cols w:space="708"/>
          <w:titlePg/>
          <w:docGrid w:linePitch="360"/>
        </w:sectPr>
      </w:pPr>
      <w:bookmarkStart w:id="1" w:name="_Toc180058928"/>
    </w:p>
    <w:p w14:paraId="3D82C6D1" w14:textId="77777777" w:rsidR="00A238EE" w:rsidRPr="00B40734" w:rsidRDefault="00A238EE" w:rsidP="00A238EE">
      <w:pPr>
        <w:keepNext/>
        <w:spacing w:after="160" w:line="240" w:lineRule="auto"/>
        <w:ind w:right="-46"/>
        <w:outlineLvl w:val="1"/>
        <w:rPr>
          <w:rFonts w:eastAsia="Times" w:cs="Arial"/>
          <w:b/>
          <w:lang w:val="en-GB"/>
        </w:rPr>
        <w:sectPr w:rsidR="00A238EE" w:rsidRPr="00B40734" w:rsidSect="00A238EE">
          <w:type w:val="continuous"/>
          <w:pgSz w:w="16838" w:h="11906" w:orient="landscape"/>
          <w:pgMar w:top="1440" w:right="1440" w:bottom="1440" w:left="1440" w:header="708" w:footer="708" w:gutter="0"/>
          <w:cols w:space="708"/>
          <w:titlePg/>
          <w:docGrid w:linePitch="360"/>
        </w:sectPr>
      </w:pPr>
      <w:bookmarkStart w:id="2" w:name="_Toc178674814"/>
      <w:bookmarkEnd w:id="1"/>
    </w:p>
    <w:p w14:paraId="5D1220F5" w14:textId="652B4095" w:rsidR="00A238EE" w:rsidRPr="00B40734" w:rsidRDefault="00A238EE" w:rsidP="00A238EE">
      <w:pPr>
        <w:pStyle w:val="Heading2"/>
        <w:numPr>
          <w:ilvl w:val="0"/>
          <w:numId w:val="0"/>
        </w:numPr>
      </w:pPr>
      <w:bookmarkStart w:id="3" w:name="_Toc180058955"/>
      <w:r>
        <w:t>Introduction</w:t>
      </w:r>
      <w:r w:rsidR="00C12EC8">
        <w:t>:</w:t>
      </w:r>
      <w:r>
        <w:t xml:space="preserve"> </w:t>
      </w:r>
      <w:r w:rsidRPr="00B40734">
        <w:t>Core Strategy Monitoring report on City Performance Indicators</w:t>
      </w:r>
      <w:bookmarkEnd w:id="2"/>
      <w:bookmarkEnd w:id="3"/>
    </w:p>
    <w:p w14:paraId="1B873976" w14:textId="77777777" w:rsidR="00A238EE" w:rsidRPr="00B40734" w:rsidRDefault="00A238EE" w:rsidP="00A238EE"/>
    <w:p w14:paraId="2DB43145" w14:textId="19305A75" w:rsidR="00A238EE" w:rsidRPr="00B40734" w:rsidRDefault="00A238EE" w:rsidP="00A238EE">
      <w:r w:rsidRPr="00B40734">
        <w:t xml:space="preserve">As set out in section 16.3.3 of the Development Plan, a Core Strategy Monitoring report on City Performance Indicators is additional to the </w:t>
      </w:r>
      <w:r w:rsidR="00746FF8" w:rsidRPr="00B40734">
        <w:t>two-year</w:t>
      </w:r>
      <w:r w:rsidRPr="00B40734">
        <w:t xml:space="preserve"> progress report and to be presented to the City Council on an annual basis. </w:t>
      </w:r>
    </w:p>
    <w:p w14:paraId="74D2EFE4" w14:textId="77777777" w:rsidR="00A238EE" w:rsidRPr="00B40734" w:rsidRDefault="00A238EE" w:rsidP="00A238EE"/>
    <w:p w14:paraId="5B49F723" w14:textId="260FAE5A" w:rsidR="00A238EE" w:rsidRPr="00D4760E" w:rsidRDefault="00A238EE" w:rsidP="00A238EE">
      <w:pPr>
        <w:rPr>
          <w:rFonts w:cs="Arial"/>
        </w:rPr>
      </w:pPr>
      <w:r w:rsidRPr="00B40734">
        <w:t xml:space="preserve">The indicators are a means by which the City’s progress can be measured in accordance with stated goals, by providing annual benchmarks. The indicators chosen for the Plan reflect the vision of the core strategy and are therefore broader in scope than environmental indicators used as part of parallel SEA and AA processes. </w:t>
      </w:r>
      <w:r w:rsidR="000B261A" w:rsidRPr="0035749E">
        <w:rPr>
          <w:rFonts w:cs="Arial"/>
        </w:rPr>
        <w:t xml:space="preserve">Table 16.1 of the City Development Plan set out City Performance Indicators </w:t>
      </w:r>
      <w:r w:rsidR="007F2938" w:rsidRPr="0035749E">
        <w:rPr>
          <w:rFonts w:cs="Arial"/>
        </w:rPr>
        <w:t xml:space="preserve">under eight thematic headings </w:t>
      </w:r>
      <w:r w:rsidR="000B261A" w:rsidRPr="0035749E">
        <w:rPr>
          <w:rFonts w:cs="Arial"/>
        </w:rPr>
        <w:t>and these are listed hereunder.</w:t>
      </w:r>
      <w:r w:rsidR="00D4760E">
        <w:rPr>
          <w:rFonts w:cs="Arial"/>
        </w:rPr>
        <w:t xml:space="preserve"> </w:t>
      </w:r>
      <w:r w:rsidRPr="00B40734">
        <w:t>Data from these annual indicators will provide a useful evidence base for the forthcoming baseline work which be an integral part of preparing the next City Development Plan.</w:t>
      </w:r>
    </w:p>
    <w:p w14:paraId="3F9AD68D" w14:textId="77777777" w:rsidR="00A238EE" w:rsidRPr="00B40734" w:rsidRDefault="00A238EE" w:rsidP="00A238EE"/>
    <w:p w14:paraId="3225BB16" w14:textId="77777777" w:rsidR="00A238EE" w:rsidRPr="00B40734" w:rsidRDefault="00A238EE" w:rsidP="00A238EE">
      <w:r w:rsidRPr="00B40734">
        <w:t>Note that the most up-to-date figures and data available at the time of writing have been used here. Generally, annual figures for 2024 have been provided where available.</w:t>
      </w:r>
    </w:p>
    <w:p w14:paraId="6C8708FD" w14:textId="33DE963C" w:rsidR="00A238EE" w:rsidRDefault="00A238EE" w:rsidP="00A238EE">
      <w:pPr>
        <w:spacing w:after="160"/>
        <w:rPr>
          <w:rFonts w:cs="Arial"/>
        </w:rPr>
      </w:pPr>
    </w:p>
    <w:p w14:paraId="2A6F5EA6" w14:textId="01494A39" w:rsidR="000B261A" w:rsidRDefault="000B261A" w:rsidP="00A238EE">
      <w:pPr>
        <w:spacing w:after="160"/>
        <w:rPr>
          <w:rFonts w:cs="Arial"/>
        </w:rPr>
      </w:pPr>
    </w:p>
    <w:p w14:paraId="3B32D681" w14:textId="77777777" w:rsidR="000B261A" w:rsidRDefault="000B261A" w:rsidP="00A238EE">
      <w:pPr>
        <w:spacing w:after="160"/>
        <w:rPr>
          <w:rFonts w:cs="Arial"/>
        </w:rPr>
      </w:pPr>
    </w:p>
    <w:p w14:paraId="69D3C437" w14:textId="77777777" w:rsidR="000B261A" w:rsidRDefault="000B261A" w:rsidP="00A238EE">
      <w:pPr>
        <w:spacing w:after="160"/>
        <w:rPr>
          <w:rFonts w:cs="Arial"/>
        </w:rPr>
      </w:pPr>
    </w:p>
    <w:p w14:paraId="2F7D60A1" w14:textId="19AD1E62" w:rsidR="000B261A" w:rsidRPr="009600E7" w:rsidRDefault="000B261A" w:rsidP="00A238EE">
      <w:pPr>
        <w:spacing w:after="160"/>
        <w:rPr>
          <w:rFonts w:cs="Arial"/>
          <w:b/>
          <w:bCs/>
        </w:rPr>
      </w:pPr>
      <w:r w:rsidRPr="009600E7">
        <w:rPr>
          <w:rFonts w:cs="Arial"/>
          <w:b/>
          <w:bCs/>
        </w:rPr>
        <w:t xml:space="preserve">City Performance Indicators </w:t>
      </w:r>
      <w:r w:rsidR="009600E7" w:rsidRPr="009600E7">
        <w:rPr>
          <w:rFonts w:cs="Arial"/>
          <w:b/>
          <w:bCs/>
        </w:rPr>
        <w:t xml:space="preserve">as </w:t>
      </w:r>
      <w:r w:rsidR="007A6CCE" w:rsidRPr="009600E7">
        <w:rPr>
          <w:rFonts w:cs="Arial"/>
          <w:b/>
          <w:bCs/>
        </w:rPr>
        <w:t xml:space="preserve">listed in </w:t>
      </w:r>
      <w:r w:rsidRPr="009600E7">
        <w:rPr>
          <w:rFonts w:cs="Arial"/>
          <w:b/>
          <w:bCs/>
        </w:rPr>
        <w:t>the City Development Plan</w:t>
      </w:r>
      <w:r w:rsidR="007A6CCE" w:rsidRPr="009600E7">
        <w:rPr>
          <w:rFonts w:cs="Arial"/>
        </w:rPr>
        <w:t xml:space="preserve"> (Table 16-1)</w:t>
      </w:r>
    </w:p>
    <w:tbl>
      <w:tblPr>
        <w:tblStyle w:val="GridTable4-Accent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Table 16-1: City Performance Indicators"/>
        <w:tblDescription w:val="Table setting out City Performance Indicators"/>
      </w:tblPr>
      <w:tblGrid>
        <w:gridCol w:w="2045"/>
        <w:gridCol w:w="4570"/>
      </w:tblGrid>
      <w:tr w:rsidR="000B261A" w:rsidRPr="000B261A" w14:paraId="1B8F3AA4" w14:textId="77777777" w:rsidTr="008432E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ED7D31" w:themeFill="accent2"/>
            <w:vAlign w:val="center"/>
          </w:tcPr>
          <w:p w14:paraId="2CC6FB99" w14:textId="77777777" w:rsidR="000B261A" w:rsidRPr="000B261A" w:rsidRDefault="000B261A" w:rsidP="008432EF">
            <w:pPr>
              <w:keepNext/>
              <w:spacing w:before="60" w:after="23"/>
              <w:rPr>
                <w:sz w:val="18"/>
                <w:szCs w:val="18"/>
              </w:rPr>
            </w:pPr>
            <w:r w:rsidRPr="000B261A">
              <w:rPr>
                <w:sz w:val="18"/>
                <w:szCs w:val="18"/>
              </w:rPr>
              <w:t>City Performance Indicators</w:t>
            </w:r>
          </w:p>
        </w:tc>
        <w:tc>
          <w:tcPr>
            <w:tcW w:w="6611" w:type="dxa"/>
            <w:tcBorders>
              <w:top w:val="none" w:sz="0" w:space="0" w:color="auto"/>
              <w:left w:val="none" w:sz="0" w:space="0" w:color="auto"/>
              <w:bottom w:val="none" w:sz="0" w:space="0" w:color="auto"/>
              <w:right w:val="none" w:sz="0" w:space="0" w:color="auto"/>
            </w:tcBorders>
            <w:shd w:val="clear" w:color="auto" w:fill="ED7D31" w:themeFill="accent2"/>
            <w:vAlign w:val="center"/>
          </w:tcPr>
          <w:p w14:paraId="68AEF8E4" w14:textId="77777777" w:rsidR="000B261A" w:rsidRPr="000B261A" w:rsidRDefault="000B261A" w:rsidP="008432EF">
            <w:pPr>
              <w:keepNext/>
              <w:spacing w:before="60" w:after="23"/>
              <w:cnfStyle w:val="100000000000" w:firstRow="1" w:lastRow="0" w:firstColumn="0" w:lastColumn="0" w:oddVBand="0" w:evenVBand="0" w:oddHBand="0" w:evenHBand="0" w:firstRowFirstColumn="0" w:firstRowLastColumn="0" w:lastRowFirstColumn="0" w:lastRowLastColumn="0"/>
              <w:rPr>
                <w:sz w:val="18"/>
                <w:szCs w:val="18"/>
              </w:rPr>
            </w:pPr>
            <w:r w:rsidRPr="000B261A">
              <w:rPr>
                <w:sz w:val="18"/>
                <w:szCs w:val="18"/>
              </w:rPr>
              <w:t>Sources of Data</w:t>
            </w:r>
          </w:p>
        </w:tc>
      </w:tr>
      <w:tr w:rsidR="000B261A" w:rsidRPr="000B261A" w14:paraId="4794B217" w14:textId="77777777" w:rsidTr="008432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60C96A10"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Planning Statistics</w:t>
            </w:r>
          </w:p>
          <w:p w14:paraId="29F6C267" w14:textId="77777777" w:rsidR="000B261A" w:rsidRPr="000B261A" w:rsidRDefault="000B261A" w:rsidP="008432EF">
            <w:pPr>
              <w:pStyle w:val="ListParagraph"/>
              <w:spacing w:before="60" w:after="23"/>
              <w:ind w:left="309"/>
              <w:rPr>
                <w:color w:val="FFFFFF" w:themeColor="background1"/>
                <w:sz w:val="18"/>
                <w:szCs w:val="18"/>
              </w:rPr>
            </w:pPr>
            <w:r w:rsidRPr="000B261A">
              <w:rPr>
                <w:color w:val="FFFFFF" w:themeColor="background1"/>
                <w:sz w:val="18"/>
                <w:szCs w:val="18"/>
              </w:rPr>
              <w:t>(Key Performance Indicators)</w:t>
            </w:r>
          </w:p>
        </w:tc>
        <w:tc>
          <w:tcPr>
            <w:tcW w:w="6611" w:type="dxa"/>
            <w:shd w:val="clear" w:color="auto" w:fill="FBE4D5" w:themeFill="accent2" w:themeFillTint="33"/>
            <w:vAlign w:val="center"/>
          </w:tcPr>
          <w:p w14:paraId="7A8CB40B" w14:textId="77777777" w:rsidR="000B261A" w:rsidRPr="000B261A" w:rsidRDefault="000B261A" w:rsidP="000B261A">
            <w:pPr>
              <w:pStyle w:val="ListParagraph"/>
              <w:numPr>
                <w:ilvl w:val="0"/>
                <w:numId w:val="18"/>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B261A">
              <w:rPr>
                <w:color w:val="000000"/>
                <w:sz w:val="18"/>
                <w:szCs w:val="18"/>
              </w:rPr>
              <w:t xml:space="preserve">Total number of valid planning applications received. </w:t>
            </w:r>
          </w:p>
          <w:p w14:paraId="02E406E8" w14:textId="77777777" w:rsidR="000B261A" w:rsidRPr="000B261A" w:rsidRDefault="000B261A" w:rsidP="000B261A">
            <w:pPr>
              <w:pStyle w:val="ListParagraph"/>
              <w:numPr>
                <w:ilvl w:val="0"/>
                <w:numId w:val="18"/>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B261A">
              <w:rPr>
                <w:color w:val="000000"/>
                <w:sz w:val="18"/>
                <w:szCs w:val="18"/>
              </w:rPr>
              <w:t xml:space="preserve">Number of applications received online (e-planning). </w:t>
            </w:r>
          </w:p>
          <w:p w14:paraId="00E99DF8" w14:textId="77777777" w:rsidR="000B261A" w:rsidRPr="000B261A" w:rsidRDefault="000B261A" w:rsidP="000B261A">
            <w:pPr>
              <w:pStyle w:val="ListParagraph"/>
              <w:numPr>
                <w:ilvl w:val="0"/>
                <w:numId w:val="18"/>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B261A">
              <w:rPr>
                <w:color w:val="000000"/>
                <w:sz w:val="18"/>
                <w:szCs w:val="18"/>
              </w:rPr>
              <w:t xml:space="preserve">Development contributions - total payments received </w:t>
            </w:r>
          </w:p>
          <w:p w14:paraId="1D5DE29A" w14:textId="77777777" w:rsidR="000B261A" w:rsidRPr="000B261A" w:rsidRDefault="000B261A" w:rsidP="000B261A">
            <w:pPr>
              <w:pStyle w:val="ListParagraph"/>
              <w:numPr>
                <w:ilvl w:val="0"/>
                <w:numId w:val="18"/>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color w:val="000000"/>
                <w:sz w:val="18"/>
                <w:szCs w:val="18"/>
              </w:rPr>
            </w:pPr>
            <w:r w:rsidRPr="000B261A">
              <w:rPr>
                <w:color w:val="000000"/>
                <w:sz w:val="18"/>
                <w:szCs w:val="18"/>
              </w:rPr>
              <w:t>Vacant land study update.</w:t>
            </w:r>
          </w:p>
          <w:p w14:paraId="35CAFE90" w14:textId="77777777" w:rsidR="000B261A" w:rsidRPr="000B261A" w:rsidRDefault="000B261A" w:rsidP="000B261A">
            <w:pPr>
              <w:pStyle w:val="ListParagraph"/>
              <w:numPr>
                <w:ilvl w:val="0"/>
                <w:numId w:val="18"/>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color w:val="000000"/>
                <w:sz w:val="18"/>
                <w:szCs w:val="18"/>
              </w:rPr>
              <w:t>Funding (URDF etc.) received.</w:t>
            </w:r>
          </w:p>
        </w:tc>
      </w:tr>
      <w:tr w:rsidR="000B261A" w:rsidRPr="000B261A" w14:paraId="419D730D" w14:textId="77777777" w:rsidTr="008432EF">
        <w:trPr>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2E81015C"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Housing-Related</w:t>
            </w:r>
          </w:p>
        </w:tc>
        <w:tc>
          <w:tcPr>
            <w:tcW w:w="6611" w:type="dxa"/>
            <w:shd w:val="clear" w:color="auto" w:fill="F7CAAC" w:themeFill="accent2" w:themeFillTint="66"/>
            <w:vAlign w:val="center"/>
          </w:tcPr>
          <w:p w14:paraId="261DFA91" w14:textId="77777777" w:rsidR="000B261A" w:rsidRPr="000B261A" w:rsidRDefault="000B261A" w:rsidP="000B261A">
            <w:pPr>
              <w:pStyle w:val="ListParagraph"/>
              <w:numPr>
                <w:ilvl w:val="0"/>
                <w:numId w:val="19"/>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Planning permissions granted for residential development with:</w:t>
            </w:r>
          </w:p>
          <w:p w14:paraId="672265D7" w14:textId="77777777" w:rsidR="000B261A" w:rsidRPr="000B261A" w:rsidRDefault="000B261A" w:rsidP="008432EF">
            <w:pPr>
              <w:pStyle w:val="ListParagraph"/>
              <w:spacing w:before="60" w:after="60"/>
              <w:ind w:left="284"/>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Breakdown of 1, 2, 3 and 4 bed units.</w:t>
            </w:r>
          </w:p>
          <w:p w14:paraId="2DA9C8CA" w14:textId="77777777" w:rsidR="000B261A" w:rsidRPr="000B261A" w:rsidRDefault="000B261A" w:rsidP="000B261A">
            <w:pPr>
              <w:pStyle w:val="ListParagraph"/>
              <w:numPr>
                <w:ilvl w:val="0"/>
                <w:numId w:val="19"/>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Total new dwellings commenced and completed with breakdown of unit type (a KPI).</w:t>
            </w:r>
          </w:p>
          <w:p w14:paraId="6588C57F" w14:textId="77777777" w:rsidR="000B261A" w:rsidRPr="000B261A" w:rsidRDefault="000B261A" w:rsidP="000B261A">
            <w:pPr>
              <w:pStyle w:val="ListParagraph"/>
              <w:numPr>
                <w:ilvl w:val="0"/>
                <w:numId w:val="19"/>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Housing land availability (from Housing Land Availability Study). </w:t>
            </w:r>
          </w:p>
          <w:p w14:paraId="4B0D8A5A" w14:textId="77777777" w:rsidR="000B261A" w:rsidRPr="000B261A" w:rsidRDefault="000B261A" w:rsidP="000B261A">
            <w:pPr>
              <w:pStyle w:val="ListParagraph"/>
              <w:numPr>
                <w:ilvl w:val="0"/>
                <w:numId w:val="19"/>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Residential rents (Private Residential Tenancies Board data). </w:t>
            </w:r>
          </w:p>
          <w:p w14:paraId="61818A24" w14:textId="77777777" w:rsidR="000B261A" w:rsidRPr="000B261A" w:rsidRDefault="000B261A" w:rsidP="000B261A">
            <w:pPr>
              <w:pStyle w:val="ListParagraph"/>
              <w:numPr>
                <w:ilvl w:val="0"/>
                <w:numId w:val="19"/>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Residential property price index – Dublin (available from Central Statistics Office).</w:t>
            </w:r>
          </w:p>
        </w:tc>
      </w:tr>
      <w:tr w:rsidR="000B261A" w:rsidRPr="000B261A" w14:paraId="3CA27A79" w14:textId="77777777" w:rsidTr="008432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505389BF"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lastRenderedPageBreak/>
              <w:t>SDRA</w:t>
            </w:r>
          </w:p>
        </w:tc>
        <w:tc>
          <w:tcPr>
            <w:tcW w:w="6611" w:type="dxa"/>
            <w:shd w:val="clear" w:color="auto" w:fill="FBE4D5" w:themeFill="accent2" w:themeFillTint="33"/>
            <w:vAlign w:val="center"/>
          </w:tcPr>
          <w:p w14:paraId="2FD83DED" w14:textId="77777777" w:rsidR="000B261A" w:rsidRPr="000B261A" w:rsidRDefault="000B261A" w:rsidP="000B261A">
            <w:pPr>
              <w:pStyle w:val="ListParagraph"/>
              <w:numPr>
                <w:ilvl w:val="0"/>
                <w:numId w:val="24"/>
              </w:numPr>
              <w:spacing w:before="60" w:after="60" w:line="276" w:lineRule="auto"/>
              <w:ind w:left="268" w:hanging="268"/>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 xml:space="preserve">Total number of valid planning applications received. </w:t>
            </w:r>
          </w:p>
          <w:p w14:paraId="15CC8943" w14:textId="77777777" w:rsidR="000B261A" w:rsidRPr="000B261A" w:rsidRDefault="000B261A" w:rsidP="000B261A">
            <w:pPr>
              <w:pStyle w:val="ListParagraph"/>
              <w:numPr>
                <w:ilvl w:val="0"/>
                <w:numId w:val="24"/>
              </w:numPr>
              <w:spacing w:before="60" w:after="60" w:line="276" w:lineRule="auto"/>
              <w:ind w:left="268" w:hanging="268"/>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 xml:space="preserve">Planning permissions granted for: </w:t>
            </w:r>
          </w:p>
          <w:p w14:paraId="62BA92D9" w14:textId="77777777" w:rsidR="000B261A" w:rsidRPr="000B261A" w:rsidRDefault="000B261A" w:rsidP="000B261A">
            <w:pPr>
              <w:pStyle w:val="ListParagraph"/>
              <w:numPr>
                <w:ilvl w:val="0"/>
                <w:numId w:val="25"/>
              </w:num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residential development</w:t>
            </w:r>
          </w:p>
          <w:p w14:paraId="2AA081EC" w14:textId="77777777" w:rsidR="000B261A" w:rsidRPr="000B261A" w:rsidRDefault="000B261A" w:rsidP="000B261A">
            <w:pPr>
              <w:pStyle w:val="ListParagraph"/>
              <w:numPr>
                <w:ilvl w:val="0"/>
                <w:numId w:val="25"/>
              </w:numPr>
              <w:spacing w:before="60" w:after="60" w:line="276" w:lineRule="auto"/>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office/retail/commercial development (sq. m.)</w:t>
            </w:r>
          </w:p>
          <w:p w14:paraId="6AA51492" w14:textId="77777777" w:rsidR="000B261A" w:rsidRPr="000B261A" w:rsidRDefault="000B261A" w:rsidP="000B261A">
            <w:pPr>
              <w:pStyle w:val="ListParagraph"/>
              <w:numPr>
                <w:ilvl w:val="0"/>
                <w:numId w:val="24"/>
              </w:numPr>
              <w:spacing w:before="60" w:after="60" w:line="276" w:lineRule="auto"/>
              <w:ind w:left="268" w:hanging="268"/>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No. of residential units constructed.</w:t>
            </w:r>
          </w:p>
          <w:p w14:paraId="5A131D13" w14:textId="77777777" w:rsidR="000B261A" w:rsidRPr="000B261A" w:rsidRDefault="000B261A" w:rsidP="000B261A">
            <w:pPr>
              <w:pStyle w:val="ListParagraph"/>
              <w:numPr>
                <w:ilvl w:val="0"/>
                <w:numId w:val="24"/>
              </w:numPr>
              <w:spacing w:before="60" w:after="60" w:line="276" w:lineRule="auto"/>
              <w:ind w:left="268" w:hanging="268"/>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Office/retail/commercial development constructed (sq. m.).</w:t>
            </w:r>
          </w:p>
          <w:p w14:paraId="2A4F3B4B" w14:textId="77777777" w:rsidR="000B261A" w:rsidRPr="000B261A" w:rsidRDefault="000B261A" w:rsidP="000B261A">
            <w:pPr>
              <w:pStyle w:val="ListParagraph"/>
              <w:numPr>
                <w:ilvl w:val="0"/>
                <w:numId w:val="24"/>
              </w:numPr>
              <w:spacing w:before="60" w:after="60" w:line="276" w:lineRule="auto"/>
              <w:ind w:left="268" w:hanging="268"/>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Enabling infrastructure delivery.</w:t>
            </w:r>
          </w:p>
        </w:tc>
      </w:tr>
      <w:tr w:rsidR="000B261A" w:rsidRPr="000B261A" w14:paraId="19284422" w14:textId="77777777" w:rsidTr="008432EF">
        <w:trPr>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40413FB6"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Commercial / Employment-Related</w:t>
            </w:r>
          </w:p>
        </w:tc>
        <w:tc>
          <w:tcPr>
            <w:tcW w:w="6611" w:type="dxa"/>
            <w:shd w:val="clear" w:color="auto" w:fill="F7CAAC" w:themeFill="accent2" w:themeFillTint="66"/>
            <w:vAlign w:val="center"/>
          </w:tcPr>
          <w:p w14:paraId="2235F519" w14:textId="77777777" w:rsidR="000B261A" w:rsidRPr="000B261A" w:rsidRDefault="000B261A" w:rsidP="000B261A">
            <w:pPr>
              <w:pStyle w:val="ListParagraph"/>
              <w:numPr>
                <w:ilvl w:val="0"/>
                <w:numId w:val="20"/>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Office floorspace quantum.</w:t>
            </w:r>
          </w:p>
          <w:p w14:paraId="0B087A9B" w14:textId="77777777" w:rsidR="000B261A" w:rsidRPr="000B261A" w:rsidRDefault="000B261A" w:rsidP="000B261A">
            <w:pPr>
              <w:pStyle w:val="ListParagraph"/>
              <w:numPr>
                <w:ilvl w:val="0"/>
                <w:numId w:val="20"/>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Retail floorspace quantum.</w:t>
            </w:r>
          </w:p>
          <w:p w14:paraId="5F543A76" w14:textId="77777777" w:rsidR="000B261A" w:rsidRPr="000B261A" w:rsidRDefault="000B261A" w:rsidP="000B261A">
            <w:pPr>
              <w:pStyle w:val="ListParagraph"/>
              <w:numPr>
                <w:ilvl w:val="0"/>
                <w:numId w:val="20"/>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Dublin city centre office rents. </w:t>
            </w:r>
          </w:p>
          <w:p w14:paraId="3D53BCE0" w14:textId="77777777" w:rsidR="000B261A" w:rsidRPr="000B261A" w:rsidRDefault="000B261A" w:rsidP="000B261A">
            <w:pPr>
              <w:pStyle w:val="ListParagraph"/>
              <w:numPr>
                <w:ilvl w:val="0"/>
                <w:numId w:val="20"/>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Dublin office vacancy rate. </w:t>
            </w:r>
          </w:p>
          <w:p w14:paraId="5081A874" w14:textId="77777777" w:rsidR="000B261A" w:rsidRPr="000B261A" w:rsidRDefault="000B261A" w:rsidP="000B261A">
            <w:pPr>
              <w:pStyle w:val="ListParagraph"/>
              <w:numPr>
                <w:ilvl w:val="0"/>
                <w:numId w:val="20"/>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Unemployment rate (census). </w:t>
            </w:r>
          </w:p>
        </w:tc>
      </w:tr>
      <w:tr w:rsidR="000B261A" w:rsidRPr="000B261A" w14:paraId="39F5BE30" w14:textId="77777777" w:rsidTr="008432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38CA8599"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Movement and Transport</w:t>
            </w:r>
          </w:p>
        </w:tc>
        <w:tc>
          <w:tcPr>
            <w:tcW w:w="6611" w:type="dxa"/>
            <w:shd w:val="clear" w:color="auto" w:fill="FBE4D5" w:themeFill="accent2" w:themeFillTint="33"/>
            <w:vAlign w:val="center"/>
          </w:tcPr>
          <w:p w14:paraId="4C740FBB" w14:textId="77777777" w:rsidR="000B261A" w:rsidRPr="000B261A" w:rsidRDefault="000B261A" w:rsidP="000B261A">
            <w:pPr>
              <w:pStyle w:val="ListParagraph"/>
              <w:numPr>
                <w:ilvl w:val="0"/>
                <w:numId w:val="21"/>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Canal cordon counts; cycle and pedestrian.</w:t>
            </w:r>
          </w:p>
          <w:p w14:paraId="1B8C47E9" w14:textId="77777777" w:rsidR="000B261A" w:rsidRPr="000B261A" w:rsidRDefault="000B261A" w:rsidP="000B261A">
            <w:pPr>
              <w:pStyle w:val="ListParagraph"/>
              <w:numPr>
                <w:ilvl w:val="0"/>
                <w:numId w:val="21"/>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 xml:space="preserve">City centre footfall figures (via </w:t>
            </w:r>
            <w:proofErr w:type="spellStart"/>
            <w:r w:rsidRPr="000B261A">
              <w:rPr>
                <w:sz w:val="18"/>
                <w:szCs w:val="18"/>
              </w:rPr>
              <w:t>Dublinked</w:t>
            </w:r>
            <w:proofErr w:type="spellEnd"/>
            <w:r w:rsidRPr="000B261A">
              <w:rPr>
                <w:sz w:val="18"/>
                <w:szCs w:val="18"/>
              </w:rPr>
              <w:t xml:space="preserve"> site). </w:t>
            </w:r>
          </w:p>
          <w:p w14:paraId="6FAF7A5A" w14:textId="77777777" w:rsidR="000B261A" w:rsidRPr="000B261A" w:rsidRDefault="000B261A" w:rsidP="000B261A">
            <w:pPr>
              <w:pStyle w:val="ListParagraph"/>
              <w:numPr>
                <w:ilvl w:val="0"/>
                <w:numId w:val="21"/>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Shared Public Mobility Schemes; annual number of trips.</w:t>
            </w:r>
          </w:p>
        </w:tc>
      </w:tr>
      <w:tr w:rsidR="000B261A" w:rsidRPr="000B261A" w14:paraId="71E5272F" w14:textId="77777777" w:rsidTr="008432EF">
        <w:trPr>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238E1C11"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Tourism and Visitors</w:t>
            </w:r>
          </w:p>
        </w:tc>
        <w:tc>
          <w:tcPr>
            <w:tcW w:w="6611" w:type="dxa"/>
            <w:shd w:val="clear" w:color="auto" w:fill="F7CAAC" w:themeFill="accent2" w:themeFillTint="66"/>
            <w:vAlign w:val="center"/>
          </w:tcPr>
          <w:p w14:paraId="1DD78FD8" w14:textId="77777777" w:rsidR="000B261A" w:rsidRPr="000B261A" w:rsidRDefault="000B261A" w:rsidP="000B261A">
            <w:pPr>
              <w:pStyle w:val="ListParagraph"/>
              <w:numPr>
                <w:ilvl w:val="0"/>
                <w:numId w:val="22"/>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Overseas visitors figures.</w:t>
            </w:r>
          </w:p>
          <w:p w14:paraId="71B618DF" w14:textId="77777777" w:rsidR="000B261A" w:rsidRPr="000B261A" w:rsidRDefault="000B261A" w:rsidP="000B261A">
            <w:pPr>
              <w:pStyle w:val="ListParagraph"/>
              <w:numPr>
                <w:ilvl w:val="0"/>
                <w:numId w:val="22"/>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Hotel room occupancy levels.</w:t>
            </w:r>
          </w:p>
        </w:tc>
      </w:tr>
      <w:tr w:rsidR="000B261A" w:rsidRPr="000B261A" w14:paraId="1C9C1861" w14:textId="77777777" w:rsidTr="008432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7F1D1FCB"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Economic</w:t>
            </w:r>
          </w:p>
        </w:tc>
        <w:tc>
          <w:tcPr>
            <w:tcW w:w="6611" w:type="dxa"/>
            <w:shd w:val="clear" w:color="auto" w:fill="FBE4D5" w:themeFill="accent2" w:themeFillTint="33"/>
            <w:vAlign w:val="center"/>
          </w:tcPr>
          <w:p w14:paraId="1B59BA57" w14:textId="77777777" w:rsidR="000B261A" w:rsidRPr="000B261A" w:rsidRDefault="000B261A" w:rsidP="000B261A">
            <w:pPr>
              <w:pStyle w:val="ListParagraph"/>
              <w:numPr>
                <w:ilvl w:val="0"/>
                <w:numId w:val="23"/>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Seaport cargo figures.</w:t>
            </w:r>
          </w:p>
          <w:p w14:paraId="5C4E5E5D" w14:textId="77777777" w:rsidR="000B261A" w:rsidRPr="000B261A" w:rsidRDefault="000B261A" w:rsidP="000B261A">
            <w:pPr>
              <w:pStyle w:val="ListParagraph"/>
              <w:numPr>
                <w:ilvl w:val="0"/>
                <w:numId w:val="23"/>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KBC/ESRI Dublin overall consumer sentiment.</w:t>
            </w:r>
          </w:p>
          <w:p w14:paraId="45870FEB" w14:textId="77777777" w:rsidR="000B261A" w:rsidRPr="000B261A" w:rsidRDefault="000B261A" w:rsidP="000B261A">
            <w:pPr>
              <w:pStyle w:val="ListParagraph"/>
              <w:numPr>
                <w:ilvl w:val="0"/>
                <w:numId w:val="23"/>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MARKIT Dublin purchasing managers’ index (PMI).</w:t>
            </w:r>
          </w:p>
          <w:p w14:paraId="697A870E" w14:textId="77777777" w:rsidR="000B261A" w:rsidRPr="000B261A" w:rsidRDefault="000B261A" w:rsidP="000B261A">
            <w:pPr>
              <w:pStyle w:val="ListParagraph"/>
              <w:numPr>
                <w:ilvl w:val="0"/>
                <w:numId w:val="23"/>
              </w:numPr>
              <w:spacing w:before="60" w:after="60" w:line="276" w:lineRule="auto"/>
              <w:ind w:left="284" w:hanging="284"/>
              <w:contextualSpacing w:val="0"/>
              <w:jc w:val="left"/>
              <w:cnfStyle w:val="000000100000" w:firstRow="0" w:lastRow="0" w:firstColumn="0" w:lastColumn="0" w:oddVBand="0" w:evenVBand="0" w:oddHBand="1" w:evenHBand="0" w:firstRowFirstColumn="0" w:firstRowLastColumn="0" w:lastRowFirstColumn="0" w:lastRowLastColumn="0"/>
              <w:rPr>
                <w:sz w:val="18"/>
                <w:szCs w:val="18"/>
              </w:rPr>
            </w:pPr>
            <w:r w:rsidRPr="000B261A">
              <w:rPr>
                <w:sz w:val="18"/>
                <w:szCs w:val="18"/>
              </w:rPr>
              <w:t>Dublin’s latest international rankings.</w:t>
            </w:r>
          </w:p>
        </w:tc>
      </w:tr>
      <w:tr w:rsidR="000B261A" w:rsidRPr="000B261A" w14:paraId="423596B4" w14:textId="77777777" w:rsidTr="008432EF">
        <w:trPr>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ED7D31" w:themeFill="accent2"/>
            <w:vAlign w:val="center"/>
          </w:tcPr>
          <w:p w14:paraId="2B5FF11E" w14:textId="77777777" w:rsidR="000B261A" w:rsidRPr="000B261A" w:rsidRDefault="000B261A" w:rsidP="000B261A">
            <w:pPr>
              <w:pStyle w:val="ListParagraph"/>
              <w:numPr>
                <w:ilvl w:val="0"/>
                <w:numId w:val="17"/>
              </w:numPr>
              <w:spacing w:before="60" w:after="23" w:line="276" w:lineRule="auto"/>
              <w:ind w:left="309"/>
              <w:jc w:val="left"/>
              <w:rPr>
                <w:color w:val="FFFFFF" w:themeColor="background1"/>
                <w:sz w:val="18"/>
                <w:szCs w:val="18"/>
              </w:rPr>
            </w:pPr>
            <w:r w:rsidRPr="000B261A">
              <w:rPr>
                <w:color w:val="FFFFFF" w:themeColor="background1"/>
                <w:sz w:val="18"/>
                <w:szCs w:val="18"/>
              </w:rPr>
              <w:t>Environmental</w:t>
            </w:r>
          </w:p>
        </w:tc>
        <w:tc>
          <w:tcPr>
            <w:tcW w:w="6611" w:type="dxa"/>
            <w:shd w:val="clear" w:color="auto" w:fill="F7CAAC" w:themeFill="accent2" w:themeFillTint="66"/>
            <w:vAlign w:val="center"/>
          </w:tcPr>
          <w:p w14:paraId="1AB1E85D" w14:textId="77777777" w:rsidR="000B261A" w:rsidRPr="000B261A" w:rsidRDefault="000B261A" w:rsidP="000B261A">
            <w:pPr>
              <w:pStyle w:val="ListParagraph"/>
              <w:numPr>
                <w:ilvl w:val="0"/>
                <w:numId w:val="1"/>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Air quality data (Environmental Protection Authority). </w:t>
            </w:r>
          </w:p>
          <w:p w14:paraId="362BF0CE" w14:textId="77777777" w:rsidR="000B261A" w:rsidRPr="000B261A" w:rsidRDefault="000B261A" w:rsidP="000B261A">
            <w:pPr>
              <w:pStyle w:val="ListParagraph"/>
              <w:numPr>
                <w:ilvl w:val="0"/>
                <w:numId w:val="1"/>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Environmental noise levels. </w:t>
            </w:r>
          </w:p>
          <w:p w14:paraId="4EC1F171" w14:textId="77777777" w:rsidR="000B261A" w:rsidRPr="000B261A" w:rsidRDefault="000B261A" w:rsidP="000B261A">
            <w:pPr>
              <w:pStyle w:val="ListParagraph"/>
              <w:numPr>
                <w:ilvl w:val="0"/>
                <w:numId w:val="1"/>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Bathing water quality (measured at </w:t>
            </w:r>
            <w:proofErr w:type="spellStart"/>
            <w:r w:rsidRPr="000B261A">
              <w:rPr>
                <w:sz w:val="18"/>
                <w:szCs w:val="18"/>
              </w:rPr>
              <w:t>Dollymount</w:t>
            </w:r>
            <w:proofErr w:type="spellEnd"/>
            <w:r w:rsidRPr="000B261A">
              <w:rPr>
                <w:sz w:val="18"/>
                <w:szCs w:val="18"/>
              </w:rPr>
              <w:t xml:space="preserve">, Sandymount. Merrion Strand and Shelley Banks). </w:t>
            </w:r>
          </w:p>
          <w:p w14:paraId="01585764" w14:textId="77777777" w:rsidR="000B261A" w:rsidRPr="000B261A" w:rsidRDefault="000B261A" w:rsidP="000B261A">
            <w:pPr>
              <w:pStyle w:val="ListParagraph"/>
              <w:numPr>
                <w:ilvl w:val="0"/>
                <w:numId w:val="1"/>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 xml:space="preserve">Carbon reduction. </w:t>
            </w:r>
          </w:p>
          <w:p w14:paraId="351D5AEA" w14:textId="77777777" w:rsidR="000B261A" w:rsidRPr="000B261A" w:rsidRDefault="000B261A" w:rsidP="000B261A">
            <w:pPr>
              <w:pStyle w:val="ListParagraph"/>
              <w:numPr>
                <w:ilvl w:val="0"/>
                <w:numId w:val="1"/>
              </w:numPr>
              <w:spacing w:before="60" w:after="60" w:line="276" w:lineRule="auto"/>
              <w:ind w:left="284" w:hanging="284"/>
              <w:contextualSpacing w:val="0"/>
              <w:jc w:val="left"/>
              <w:cnfStyle w:val="000000000000" w:firstRow="0" w:lastRow="0" w:firstColumn="0" w:lastColumn="0" w:oddVBand="0" w:evenVBand="0" w:oddHBand="0" w:evenHBand="0" w:firstRowFirstColumn="0" w:firstRowLastColumn="0" w:lastRowFirstColumn="0" w:lastRowLastColumn="0"/>
              <w:rPr>
                <w:sz w:val="18"/>
                <w:szCs w:val="18"/>
              </w:rPr>
            </w:pPr>
            <w:r w:rsidRPr="000B261A">
              <w:rPr>
                <w:sz w:val="18"/>
                <w:szCs w:val="18"/>
              </w:rPr>
              <w:t>Energy performance.</w:t>
            </w:r>
          </w:p>
        </w:tc>
      </w:tr>
    </w:tbl>
    <w:p w14:paraId="390C6D39" w14:textId="77777777" w:rsidR="000B261A" w:rsidRPr="00B40734" w:rsidRDefault="000B261A" w:rsidP="00A238EE">
      <w:pPr>
        <w:spacing w:after="160"/>
        <w:rPr>
          <w:rFonts w:cs="Arial"/>
        </w:rPr>
      </w:pPr>
    </w:p>
    <w:p w14:paraId="1370D57D" w14:textId="77777777" w:rsidR="00A238EE" w:rsidRPr="00B40734" w:rsidRDefault="00A238EE" w:rsidP="00D26CEF">
      <w:pPr>
        <w:pStyle w:val="Heading3"/>
        <w:numPr>
          <w:ilvl w:val="0"/>
          <w:numId w:val="0"/>
        </w:numPr>
        <w:ind w:left="567" w:hanging="283"/>
        <w:rPr>
          <w:rFonts w:eastAsia="Times"/>
          <w:lang w:val="en-GB" w:eastAsia="en-IE"/>
        </w:rPr>
      </w:pPr>
      <w:r w:rsidRPr="00B40734">
        <w:rPr>
          <w:rFonts w:eastAsia="Times"/>
          <w:lang w:val="en-GB" w:eastAsia="en-IE"/>
        </w:rPr>
        <w:t>Indicator 1: Planning Statistics</w:t>
      </w:r>
    </w:p>
    <w:p w14:paraId="6ABACE63" w14:textId="77777777" w:rsidR="00A238EE" w:rsidRPr="00B40734" w:rsidRDefault="00A238EE" w:rsidP="00A238EE">
      <w:pPr>
        <w:spacing w:after="160"/>
        <w:rPr>
          <w:rFonts w:cs="Arial"/>
        </w:rPr>
      </w:pPr>
    </w:p>
    <w:p w14:paraId="1B8C8BBA" w14:textId="77777777" w:rsidR="00A238EE" w:rsidRDefault="00A238EE" w:rsidP="00A238EE">
      <w:pPr>
        <w:numPr>
          <w:ilvl w:val="0"/>
          <w:numId w:val="2"/>
        </w:numPr>
        <w:spacing w:before="60" w:after="60" w:line="276" w:lineRule="auto"/>
        <w:rPr>
          <w:rFonts w:cs="Arial"/>
          <w:i/>
        </w:rPr>
      </w:pPr>
      <w:r w:rsidRPr="00B40734">
        <w:rPr>
          <w:rFonts w:cs="Arial"/>
          <w:i/>
        </w:rPr>
        <w:t xml:space="preserve">Total number of valid planning applications received. </w:t>
      </w:r>
    </w:p>
    <w:p w14:paraId="5D36C4D6" w14:textId="77777777" w:rsidR="005E62F0" w:rsidRPr="00B40734" w:rsidRDefault="005E62F0" w:rsidP="005E62F0">
      <w:pPr>
        <w:spacing w:before="60" w:after="60" w:line="276" w:lineRule="auto"/>
        <w:ind w:left="644"/>
        <w:rPr>
          <w:rFonts w:cs="Arial"/>
          <w:i/>
        </w:rPr>
      </w:pPr>
    </w:p>
    <w:p w14:paraId="79D9174A" w14:textId="04D9D6C6" w:rsidR="00A238EE" w:rsidRPr="00B40734" w:rsidRDefault="00A238EE" w:rsidP="00A238EE">
      <w:pPr>
        <w:spacing w:before="60" w:after="60" w:line="276" w:lineRule="auto"/>
        <w:rPr>
          <w:rFonts w:cs="Arial"/>
        </w:rPr>
      </w:pPr>
      <w:r w:rsidRPr="00B40734">
        <w:rPr>
          <w:rFonts w:cs="Arial"/>
        </w:rPr>
        <w:t xml:space="preserve">In 2024, </w:t>
      </w:r>
      <w:r w:rsidRPr="00A238EE">
        <w:rPr>
          <w:rFonts w:cs="Arial"/>
        </w:rPr>
        <w:t>2</w:t>
      </w:r>
      <w:r w:rsidR="008B1913">
        <w:rPr>
          <w:rFonts w:cs="Arial"/>
        </w:rPr>
        <w:t>,</w:t>
      </w:r>
      <w:r w:rsidRPr="00A238EE">
        <w:rPr>
          <w:rFonts w:cs="Arial"/>
        </w:rPr>
        <w:t xml:space="preserve">774 </w:t>
      </w:r>
      <w:r w:rsidRPr="00B40734">
        <w:rPr>
          <w:rFonts w:cs="Arial"/>
        </w:rPr>
        <w:t xml:space="preserve">no. valid planning applications were received. The equivalent 2023 figure was </w:t>
      </w:r>
      <w:r>
        <w:rPr>
          <w:rFonts w:cs="Arial"/>
        </w:rPr>
        <w:t>3,250</w:t>
      </w:r>
      <w:r w:rsidR="00777F98">
        <w:rPr>
          <w:rFonts w:cs="Arial"/>
        </w:rPr>
        <w:t xml:space="preserve"> (Source: DCC Planning Department)</w:t>
      </w:r>
    </w:p>
    <w:p w14:paraId="185F5EFB" w14:textId="77777777" w:rsidR="00A238EE" w:rsidRPr="00B40734" w:rsidRDefault="00A238EE" w:rsidP="00A238EE">
      <w:pPr>
        <w:spacing w:before="60" w:after="60" w:line="276" w:lineRule="auto"/>
        <w:rPr>
          <w:rFonts w:cs="Arial"/>
        </w:rPr>
      </w:pPr>
    </w:p>
    <w:p w14:paraId="1DCB88A5" w14:textId="77777777" w:rsidR="00A238EE" w:rsidRPr="00B40734" w:rsidRDefault="00A238EE" w:rsidP="00A238EE">
      <w:pPr>
        <w:numPr>
          <w:ilvl w:val="0"/>
          <w:numId w:val="2"/>
        </w:numPr>
        <w:spacing w:before="60" w:after="60" w:line="276" w:lineRule="auto"/>
        <w:contextualSpacing/>
        <w:rPr>
          <w:rFonts w:cs="Arial"/>
          <w:i/>
        </w:rPr>
      </w:pPr>
      <w:r w:rsidRPr="00B40734">
        <w:rPr>
          <w:rFonts w:cs="Arial"/>
          <w:i/>
        </w:rPr>
        <w:t xml:space="preserve">Number of applications received online (e-planning). </w:t>
      </w:r>
    </w:p>
    <w:p w14:paraId="2849C253" w14:textId="3411195C" w:rsidR="00A238EE" w:rsidRDefault="00A238EE" w:rsidP="00C56F3A">
      <w:pPr>
        <w:spacing w:before="60" w:after="60" w:line="276" w:lineRule="auto"/>
        <w:rPr>
          <w:rFonts w:cs="Arial"/>
        </w:rPr>
      </w:pPr>
      <w:r w:rsidRPr="00B40734">
        <w:rPr>
          <w:rFonts w:cs="Arial"/>
        </w:rPr>
        <w:t xml:space="preserve">A total of </w:t>
      </w:r>
      <w:r w:rsidRPr="00A238EE">
        <w:rPr>
          <w:rFonts w:cs="Arial"/>
        </w:rPr>
        <w:t>1</w:t>
      </w:r>
      <w:r w:rsidR="008B1913">
        <w:rPr>
          <w:rFonts w:cs="Arial"/>
        </w:rPr>
        <w:t>,</w:t>
      </w:r>
      <w:r w:rsidRPr="00A238EE">
        <w:rPr>
          <w:rFonts w:cs="Arial"/>
        </w:rPr>
        <w:t xml:space="preserve">951 </w:t>
      </w:r>
      <w:r w:rsidRPr="00B40734">
        <w:rPr>
          <w:rFonts w:cs="Arial"/>
        </w:rPr>
        <w:t xml:space="preserve">online applications were made in 2024 </w:t>
      </w:r>
      <w:r w:rsidR="00C56F3A">
        <w:rPr>
          <w:rFonts w:cs="Arial"/>
        </w:rPr>
        <w:t>(Source: DCC Planning Department)</w:t>
      </w:r>
    </w:p>
    <w:p w14:paraId="67E486AD" w14:textId="77777777" w:rsidR="00C56F3A" w:rsidRPr="00B40734" w:rsidRDefault="00C56F3A" w:rsidP="00C56F3A">
      <w:pPr>
        <w:spacing w:before="60" w:after="60" w:line="276" w:lineRule="auto"/>
        <w:rPr>
          <w:rFonts w:cs="Arial"/>
        </w:rPr>
      </w:pPr>
    </w:p>
    <w:p w14:paraId="30B0C591" w14:textId="11EB2143" w:rsidR="00A238EE" w:rsidRPr="00B40734" w:rsidRDefault="00A238EE" w:rsidP="00A238EE">
      <w:pPr>
        <w:numPr>
          <w:ilvl w:val="0"/>
          <w:numId w:val="2"/>
        </w:numPr>
        <w:spacing w:before="60" w:after="60" w:line="276" w:lineRule="auto"/>
        <w:rPr>
          <w:rFonts w:cs="Arial"/>
          <w:i/>
        </w:rPr>
      </w:pPr>
      <w:r w:rsidRPr="00B40734">
        <w:rPr>
          <w:rFonts w:cs="Arial"/>
          <w:i/>
        </w:rPr>
        <w:t xml:space="preserve">Development Contributions - total payments </w:t>
      </w:r>
      <w:r w:rsidR="00746FF8" w:rsidRPr="00B40734">
        <w:rPr>
          <w:rFonts w:cs="Arial"/>
          <w:i/>
        </w:rPr>
        <w:t>received.</w:t>
      </w:r>
    </w:p>
    <w:p w14:paraId="0898163C" w14:textId="77777777" w:rsidR="00A238EE" w:rsidRPr="00D0550D" w:rsidRDefault="00A238EE" w:rsidP="00A238EE">
      <w:pPr>
        <w:spacing w:before="60" w:after="60" w:line="276" w:lineRule="auto"/>
        <w:rPr>
          <w:rFonts w:cs="Arial"/>
          <w:i/>
          <w:color w:val="ED7D31" w:themeColor="accent2"/>
        </w:rPr>
      </w:pPr>
      <w:r w:rsidRPr="00A238EE">
        <w:rPr>
          <w:rFonts w:cs="Arial"/>
        </w:rPr>
        <w:t>€</w:t>
      </w:r>
      <w:r w:rsidRPr="00A238EE">
        <w:t>24,843,357</w:t>
      </w:r>
      <w:r w:rsidRPr="00A238EE">
        <w:rPr>
          <w:rFonts w:cs="Arial"/>
        </w:rPr>
        <w:t xml:space="preserve"> </w:t>
      </w:r>
      <w:r w:rsidRPr="00B40734">
        <w:rPr>
          <w:rFonts w:cs="Arial"/>
        </w:rPr>
        <w:t>received in 2024, down from €</w:t>
      </w:r>
      <w:r>
        <w:rPr>
          <w:rFonts w:cs="Arial"/>
        </w:rPr>
        <w:t>39,769,493</w:t>
      </w:r>
      <w:r w:rsidRPr="00B40734">
        <w:rPr>
          <w:rFonts w:cs="Arial"/>
        </w:rPr>
        <w:t xml:space="preserve"> in 2023 (Source</w:t>
      </w:r>
      <w:r>
        <w:rPr>
          <w:rFonts w:cs="Arial"/>
        </w:rPr>
        <w:t>:</w:t>
      </w:r>
      <w:r w:rsidRPr="00B40734">
        <w:rPr>
          <w:rFonts w:cs="Arial"/>
        </w:rPr>
        <w:t xml:space="preserve"> </w:t>
      </w:r>
      <w:r w:rsidRPr="00B40734">
        <w:rPr>
          <w:rFonts w:cs="Arial"/>
          <w:i/>
        </w:rPr>
        <w:t>Annual Financial Statements, Dublin City Council, Year ended 31</w:t>
      </w:r>
      <w:r w:rsidRPr="00B40734">
        <w:rPr>
          <w:rFonts w:cs="Arial"/>
          <w:i/>
          <w:vertAlign w:val="superscript"/>
        </w:rPr>
        <w:t>st</w:t>
      </w:r>
      <w:r w:rsidRPr="00B40734">
        <w:rPr>
          <w:rFonts w:cs="Arial"/>
          <w:i/>
        </w:rPr>
        <w:t xml:space="preserve"> Dec 2024)</w:t>
      </w:r>
      <w:r>
        <w:rPr>
          <w:rFonts w:cs="Arial"/>
          <w:i/>
        </w:rPr>
        <w:t xml:space="preserve"> </w:t>
      </w:r>
    </w:p>
    <w:p w14:paraId="4D99A502" w14:textId="77777777" w:rsidR="00A238EE" w:rsidRPr="00B40734" w:rsidRDefault="00A238EE" w:rsidP="00A238EE">
      <w:pPr>
        <w:spacing w:before="60" w:after="60" w:line="276" w:lineRule="auto"/>
        <w:ind w:left="644"/>
        <w:rPr>
          <w:rFonts w:cs="Arial"/>
        </w:rPr>
      </w:pPr>
    </w:p>
    <w:p w14:paraId="1A5C13D2" w14:textId="77777777" w:rsidR="00A238EE" w:rsidRPr="00B40734" w:rsidRDefault="00A238EE" w:rsidP="00A238EE">
      <w:pPr>
        <w:numPr>
          <w:ilvl w:val="0"/>
          <w:numId w:val="2"/>
        </w:numPr>
        <w:spacing w:before="60" w:after="60" w:line="276" w:lineRule="auto"/>
        <w:rPr>
          <w:rFonts w:cs="Arial"/>
          <w:i/>
        </w:rPr>
      </w:pPr>
      <w:r w:rsidRPr="00B40734">
        <w:rPr>
          <w:rFonts w:cs="Arial"/>
          <w:i/>
        </w:rPr>
        <w:t>Vacant land study update.</w:t>
      </w:r>
    </w:p>
    <w:p w14:paraId="59712DD0" w14:textId="42A06AD1" w:rsidR="00A238EE" w:rsidRPr="00852476" w:rsidRDefault="00A238EE" w:rsidP="00A238EE">
      <w:pPr>
        <w:spacing w:before="60" w:after="60" w:line="276" w:lineRule="auto"/>
        <w:rPr>
          <w:rFonts w:cs="Arial"/>
          <w:color w:val="ED7D31" w:themeColor="accent2"/>
        </w:rPr>
      </w:pPr>
      <w:r w:rsidRPr="00B40734">
        <w:rPr>
          <w:rFonts w:cs="Arial"/>
        </w:rPr>
        <w:lastRenderedPageBreak/>
        <w:t>Please refer to Appendix 1 for update including progress on the Residential Zoned Land Tax</w:t>
      </w:r>
      <w:r w:rsidR="009C669D">
        <w:rPr>
          <w:rFonts w:cs="Arial"/>
        </w:rPr>
        <w:t>.</w:t>
      </w:r>
    </w:p>
    <w:p w14:paraId="65F76C30" w14:textId="77777777" w:rsidR="00A238EE" w:rsidRPr="00B40734" w:rsidRDefault="00A238EE" w:rsidP="00A238EE">
      <w:pPr>
        <w:spacing w:before="60" w:after="60"/>
        <w:ind w:left="284"/>
        <w:rPr>
          <w:rFonts w:cs="Arial"/>
        </w:rPr>
      </w:pPr>
    </w:p>
    <w:p w14:paraId="5FFE4F4B" w14:textId="77777777" w:rsidR="00A238EE" w:rsidRPr="00B40734" w:rsidRDefault="00A238EE" w:rsidP="00A238EE">
      <w:pPr>
        <w:numPr>
          <w:ilvl w:val="0"/>
          <w:numId w:val="2"/>
        </w:numPr>
        <w:spacing w:after="160"/>
        <w:contextualSpacing/>
        <w:rPr>
          <w:rFonts w:cs="Arial"/>
          <w:i/>
        </w:rPr>
      </w:pPr>
      <w:r w:rsidRPr="00B40734">
        <w:rPr>
          <w:rFonts w:cs="Arial"/>
          <w:i/>
        </w:rPr>
        <w:t>Funding (URDF etc.) received</w:t>
      </w:r>
    </w:p>
    <w:p w14:paraId="178130EC" w14:textId="6835FA92" w:rsidR="00A238EE" w:rsidRDefault="00A238EE" w:rsidP="00A238EE">
      <w:pPr>
        <w:spacing w:before="60" w:after="60" w:line="276" w:lineRule="auto"/>
        <w:rPr>
          <w:rFonts w:cs="Arial"/>
        </w:rPr>
      </w:pPr>
      <w:r w:rsidRPr="00A238EE">
        <w:rPr>
          <w:rFonts w:cs="Arial"/>
          <w:shd w:val="clear" w:color="auto" w:fill="FFFFFF"/>
        </w:rPr>
        <w:t xml:space="preserve">As part of Call 2 of the URDF, </w:t>
      </w:r>
      <w:r w:rsidRPr="00A238EE">
        <w:rPr>
          <w:rFonts w:cs="Arial"/>
        </w:rPr>
        <w:t>funding for DCC projects</w:t>
      </w:r>
      <w:r w:rsidRPr="00A238EE">
        <w:rPr>
          <w:rFonts w:cs="Arial"/>
          <w:shd w:val="clear" w:color="auto" w:fill="FFFFFF"/>
        </w:rPr>
        <w:t xml:space="preserve"> was awarded </w:t>
      </w:r>
      <w:r w:rsidRPr="00A238EE">
        <w:rPr>
          <w:rFonts w:cs="Arial"/>
        </w:rPr>
        <w:t xml:space="preserve">as follows; </w:t>
      </w:r>
      <w:r w:rsidRPr="00A238EE">
        <w:rPr>
          <w:rFonts w:cs="Arial"/>
          <w:shd w:val="clear" w:color="auto" w:fill="FFFFFF"/>
        </w:rPr>
        <w:t xml:space="preserve">to assist in the regeneration of several areas in the North Inner City (€125.5m) and the South Inner City (€45.1m). </w:t>
      </w:r>
      <w:r w:rsidRPr="00A238EE">
        <w:rPr>
          <w:rFonts w:cs="Arial"/>
        </w:rPr>
        <w:t>This</w:t>
      </w:r>
      <w:r w:rsidR="00F11595">
        <w:rPr>
          <w:rFonts w:cs="Arial"/>
        </w:rPr>
        <w:t xml:space="preserve"> is</w:t>
      </w:r>
      <w:r w:rsidRPr="00A238EE">
        <w:rPr>
          <w:rFonts w:cs="Arial"/>
        </w:rPr>
        <w:t xml:space="preserve"> </w:t>
      </w:r>
      <w:r w:rsidRPr="00A238EE">
        <w:rPr>
          <w:rFonts w:cs="Arial"/>
          <w:shd w:val="clear" w:color="auto" w:fill="FFFFFF"/>
        </w:rPr>
        <w:t xml:space="preserve">a significant allocation of €170.6m </w:t>
      </w:r>
      <w:r w:rsidRPr="00A238EE">
        <w:rPr>
          <w:rFonts w:cs="Arial"/>
        </w:rPr>
        <w:t xml:space="preserve">in approved funding and is in addition to </w:t>
      </w:r>
      <w:r w:rsidRPr="00A238EE">
        <w:rPr>
          <w:rFonts w:cs="Arial"/>
          <w:shd w:val="clear" w:color="auto" w:fill="FFFFFF"/>
        </w:rPr>
        <w:t>six</w:t>
      </w:r>
      <w:r w:rsidRPr="00A238EE">
        <w:rPr>
          <w:rFonts w:cs="Arial"/>
        </w:rPr>
        <w:t xml:space="preserve"> projects with approved URDF funding totalling </w:t>
      </w:r>
      <w:r w:rsidRPr="00A238EE">
        <w:rPr>
          <w:rFonts w:cs="Arial"/>
          <w:shd w:val="clear" w:color="auto" w:fill="FFFFFF"/>
        </w:rPr>
        <w:t xml:space="preserve">€17.8m </w:t>
      </w:r>
      <w:r w:rsidRPr="00A238EE">
        <w:rPr>
          <w:rFonts w:cs="Arial"/>
        </w:rPr>
        <w:t xml:space="preserve">under the earlier ‘Call 1’. </w:t>
      </w:r>
      <w:r w:rsidRPr="00B40734">
        <w:rPr>
          <w:rFonts w:cs="Arial"/>
        </w:rPr>
        <w:t>(See Appendix 3 for details).</w:t>
      </w:r>
    </w:p>
    <w:p w14:paraId="02D51BC2" w14:textId="77777777" w:rsidR="005E62F0" w:rsidRPr="006A25AC" w:rsidRDefault="005E62F0" w:rsidP="00A238EE">
      <w:pPr>
        <w:spacing w:before="60" w:after="60" w:line="276" w:lineRule="auto"/>
        <w:rPr>
          <w:rFonts w:cs="Arial"/>
          <w:b/>
          <w:color w:val="538135" w:themeColor="accent6" w:themeShade="BF"/>
        </w:rPr>
      </w:pPr>
    </w:p>
    <w:p w14:paraId="341C0CBA" w14:textId="77777777" w:rsidR="00A238EE" w:rsidRPr="00B40734" w:rsidRDefault="00A238EE" w:rsidP="00A238EE">
      <w:pPr>
        <w:pStyle w:val="Heading3"/>
        <w:numPr>
          <w:ilvl w:val="0"/>
          <w:numId w:val="0"/>
        </w:numPr>
        <w:ind w:left="567" w:hanging="567"/>
        <w:rPr>
          <w:rFonts w:eastAsia="Times"/>
          <w:lang w:val="en-GB" w:eastAsia="en-IE"/>
        </w:rPr>
      </w:pPr>
      <w:r w:rsidRPr="00B40734">
        <w:rPr>
          <w:rFonts w:eastAsia="Times"/>
          <w:lang w:val="en-GB" w:eastAsia="en-IE"/>
        </w:rPr>
        <w:t>Indicator 2: Housing-Related</w:t>
      </w:r>
    </w:p>
    <w:p w14:paraId="3320FEB5" w14:textId="77777777" w:rsidR="00A238EE" w:rsidRPr="00B40734" w:rsidRDefault="00A238EE" w:rsidP="00A238EE">
      <w:pPr>
        <w:spacing w:after="160"/>
        <w:rPr>
          <w:lang w:val="en-GB" w:eastAsia="en-IE"/>
        </w:rPr>
      </w:pPr>
    </w:p>
    <w:p w14:paraId="13D83601" w14:textId="77777777" w:rsidR="00A238EE" w:rsidRPr="00B40734" w:rsidRDefault="00A238EE" w:rsidP="00A238EE">
      <w:pPr>
        <w:numPr>
          <w:ilvl w:val="0"/>
          <w:numId w:val="5"/>
        </w:numPr>
        <w:spacing w:before="60" w:after="60" w:line="276" w:lineRule="auto"/>
        <w:contextualSpacing/>
        <w:rPr>
          <w:rFonts w:cs="Arial"/>
          <w:i/>
        </w:rPr>
      </w:pPr>
      <w:r w:rsidRPr="00B40734">
        <w:rPr>
          <w:rFonts w:cs="Arial"/>
          <w:i/>
        </w:rPr>
        <w:t>Planning permissions granted for residential development with: Breakdown of 1, 2, 3 and 4 bed units</w:t>
      </w:r>
    </w:p>
    <w:p w14:paraId="689C8C71" w14:textId="77777777" w:rsidR="00A238EE" w:rsidRDefault="00A238EE" w:rsidP="00A238EE">
      <w:pPr>
        <w:spacing w:before="60" w:after="60" w:line="276" w:lineRule="auto"/>
        <w:rPr>
          <w:rFonts w:cs="Arial"/>
        </w:rPr>
      </w:pPr>
    </w:p>
    <w:p w14:paraId="58C4C136" w14:textId="144D5657" w:rsidR="00A238EE" w:rsidRPr="00AB78A7" w:rsidRDefault="00A238EE" w:rsidP="00A238EE">
      <w:pPr>
        <w:spacing w:before="60" w:after="60" w:line="276" w:lineRule="auto"/>
        <w:rPr>
          <w:rFonts w:cs="Arial"/>
          <w:color w:val="538135" w:themeColor="accent6" w:themeShade="BF"/>
        </w:rPr>
      </w:pPr>
      <w:r w:rsidRPr="00B40734">
        <w:rPr>
          <w:rFonts w:cs="Arial"/>
        </w:rPr>
        <w:t xml:space="preserve">Table 1 contains figures for 2024. These figures are based on an analysis of all applications for 10 or more units using available </w:t>
      </w:r>
      <w:r w:rsidR="00D4760E" w:rsidRPr="0035749E">
        <w:rPr>
          <w:rFonts w:cs="Arial"/>
        </w:rPr>
        <w:t>‘</w:t>
      </w:r>
      <w:r w:rsidR="0034472D" w:rsidRPr="0035749E">
        <w:rPr>
          <w:rFonts w:cs="Arial"/>
        </w:rPr>
        <w:t>4Dublin Housing Supply Pipeline</w:t>
      </w:r>
      <w:r w:rsidR="00D4760E" w:rsidRPr="0035749E">
        <w:rPr>
          <w:rFonts w:cs="Arial"/>
        </w:rPr>
        <w:t>’</w:t>
      </w:r>
      <w:r w:rsidRPr="00B40734">
        <w:rPr>
          <w:rFonts w:cs="Arial"/>
        </w:rPr>
        <w:t xml:space="preserve"> </w:t>
      </w:r>
      <w:r w:rsidR="00623DAB" w:rsidRPr="00B40734">
        <w:rPr>
          <w:rFonts w:cs="Arial"/>
        </w:rPr>
        <w:t>data</w:t>
      </w:r>
      <w:r w:rsidR="00623DAB">
        <w:rPr>
          <w:rFonts w:cs="Arial"/>
        </w:rPr>
        <w:t xml:space="preserve"> but</w:t>
      </w:r>
      <w:r w:rsidRPr="00B40734">
        <w:rPr>
          <w:rFonts w:cs="Arial"/>
        </w:rPr>
        <w:t xml:space="preserve"> exclude local authority development (part 8 and part 10 developments) and developments </w:t>
      </w:r>
      <w:r w:rsidRPr="00AD1200">
        <w:rPr>
          <w:rFonts w:cs="Arial"/>
        </w:rPr>
        <w:t>by Approved Housing Bodies (AHBs) – hence these figures are</w:t>
      </w:r>
      <w:r w:rsidRPr="00B40734">
        <w:rPr>
          <w:rFonts w:cs="Arial"/>
        </w:rPr>
        <w:t xml:space="preserve"> underestimates of overall units granted. The figures exclude developments refused on appeal.</w:t>
      </w:r>
      <w:r>
        <w:rPr>
          <w:rFonts w:cs="Arial"/>
        </w:rPr>
        <w:t xml:space="preserve"> </w:t>
      </w:r>
    </w:p>
    <w:p w14:paraId="47620BFE" w14:textId="77777777" w:rsidR="00720329" w:rsidRDefault="00720329" w:rsidP="00A238EE">
      <w:pPr>
        <w:pStyle w:val="Caption"/>
        <w:keepNext/>
      </w:pPr>
      <w:bookmarkStart w:id="4" w:name="_Ref179198652"/>
      <w:bookmarkStart w:id="5" w:name="_Toc180059279"/>
    </w:p>
    <w:p w14:paraId="0F351F9E" w14:textId="5A6DF522" w:rsidR="00A238EE" w:rsidRPr="00B40734" w:rsidRDefault="00A238EE" w:rsidP="00A238EE">
      <w:pPr>
        <w:pStyle w:val="Caption"/>
        <w:keepNext/>
      </w:pPr>
      <w:r w:rsidRPr="00B40734">
        <w:t>Table</w:t>
      </w:r>
      <w:bookmarkEnd w:id="4"/>
      <w:r w:rsidRPr="00B40734">
        <w:t>1: Permissions Granted by no. of Bedrooms</w:t>
      </w:r>
      <w:bookmarkEnd w:id="5"/>
    </w:p>
    <w:tbl>
      <w:tblPr>
        <w:tblStyle w:val="TableGrid1"/>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17"/>
        <w:gridCol w:w="1418"/>
        <w:gridCol w:w="1248"/>
      </w:tblGrid>
      <w:tr w:rsidR="00A238EE" w:rsidRPr="00B40734" w14:paraId="5276D6B7" w14:textId="77777777" w:rsidTr="00A238EE">
        <w:trPr>
          <w:cantSplit/>
          <w:tblHeader/>
          <w:jc w:val="center"/>
        </w:trPr>
        <w:tc>
          <w:tcPr>
            <w:tcW w:w="1417" w:type="dxa"/>
          </w:tcPr>
          <w:p w14:paraId="040AB290" w14:textId="77777777" w:rsidR="00A238EE" w:rsidRPr="00B40734" w:rsidRDefault="00A238EE" w:rsidP="00A238EE">
            <w:pPr>
              <w:spacing w:before="60" w:after="60"/>
              <w:rPr>
                <w:rFonts w:cs="Arial"/>
                <w:b/>
                <w:i/>
              </w:rPr>
            </w:pPr>
            <w:r w:rsidRPr="00B40734">
              <w:rPr>
                <w:rFonts w:cs="Arial"/>
                <w:b/>
                <w:i/>
              </w:rPr>
              <w:t>Unit type</w:t>
            </w:r>
          </w:p>
        </w:tc>
        <w:tc>
          <w:tcPr>
            <w:tcW w:w="1418" w:type="dxa"/>
          </w:tcPr>
          <w:p w14:paraId="297100B3" w14:textId="77777777" w:rsidR="00A238EE" w:rsidRPr="00B40734" w:rsidRDefault="00A238EE" w:rsidP="00A238EE">
            <w:pPr>
              <w:spacing w:before="60" w:after="60"/>
              <w:rPr>
                <w:rFonts w:cs="Arial"/>
                <w:b/>
                <w:i/>
              </w:rPr>
            </w:pPr>
            <w:r w:rsidRPr="00B40734">
              <w:rPr>
                <w:rFonts w:cs="Arial"/>
                <w:b/>
                <w:i/>
              </w:rPr>
              <w:t>No. of units</w:t>
            </w:r>
          </w:p>
        </w:tc>
        <w:tc>
          <w:tcPr>
            <w:tcW w:w="1248" w:type="dxa"/>
          </w:tcPr>
          <w:p w14:paraId="6F34AA51" w14:textId="77777777" w:rsidR="00A238EE" w:rsidRPr="00B40734" w:rsidRDefault="00A238EE" w:rsidP="00A238EE">
            <w:pPr>
              <w:spacing w:before="60" w:after="60"/>
              <w:rPr>
                <w:rFonts w:cs="Arial"/>
                <w:b/>
                <w:i/>
              </w:rPr>
            </w:pPr>
            <w:r w:rsidRPr="00B40734">
              <w:rPr>
                <w:rFonts w:cs="Arial"/>
                <w:b/>
                <w:i/>
              </w:rPr>
              <w:t>% of total</w:t>
            </w:r>
          </w:p>
        </w:tc>
      </w:tr>
      <w:tr w:rsidR="00A238EE" w:rsidRPr="00B40734" w14:paraId="3F6223B6" w14:textId="77777777" w:rsidTr="00A238EE">
        <w:trPr>
          <w:cantSplit/>
          <w:jc w:val="center"/>
        </w:trPr>
        <w:tc>
          <w:tcPr>
            <w:tcW w:w="1417" w:type="dxa"/>
          </w:tcPr>
          <w:p w14:paraId="34181CE6" w14:textId="77777777" w:rsidR="00A238EE" w:rsidRPr="00B40734" w:rsidRDefault="00A238EE" w:rsidP="00A238EE">
            <w:pPr>
              <w:spacing w:before="60" w:after="60"/>
              <w:rPr>
                <w:rFonts w:cs="Arial"/>
              </w:rPr>
            </w:pPr>
            <w:r w:rsidRPr="00B40734">
              <w:rPr>
                <w:rFonts w:cs="Arial"/>
              </w:rPr>
              <w:t>Studio</w:t>
            </w:r>
          </w:p>
        </w:tc>
        <w:tc>
          <w:tcPr>
            <w:tcW w:w="1418" w:type="dxa"/>
          </w:tcPr>
          <w:p w14:paraId="1C19650B" w14:textId="02B1FBCD" w:rsidR="00A238EE" w:rsidRPr="00517FBF" w:rsidRDefault="00517FBF" w:rsidP="00346E4B">
            <w:pPr>
              <w:spacing w:before="60" w:after="60"/>
              <w:jc w:val="right"/>
              <w:rPr>
                <w:rFonts w:cs="Arial"/>
              </w:rPr>
            </w:pPr>
            <w:r w:rsidRPr="00517FBF">
              <w:rPr>
                <w:rFonts w:cs="Arial"/>
              </w:rPr>
              <w:t>67</w:t>
            </w:r>
          </w:p>
        </w:tc>
        <w:tc>
          <w:tcPr>
            <w:tcW w:w="1248" w:type="dxa"/>
          </w:tcPr>
          <w:p w14:paraId="15462766" w14:textId="49AA72F8" w:rsidR="00A238EE" w:rsidRPr="00517FBF" w:rsidRDefault="00CB4327" w:rsidP="00A238EE">
            <w:pPr>
              <w:spacing w:before="60" w:after="60"/>
              <w:jc w:val="right"/>
              <w:rPr>
                <w:rFonts w:cs="Arial"/>
              </w:rPr>
            </w:pPr>
            <w:r w:rsidRPr="00517FBF">
              <w:rPr>
                <w:rFonts w:cs="Arial"/>
              </w:rPr>
              <w:t>3</w:t>
            </w:r>
            <w:r w:rsidR="00517FBF" w:rsidRPr="00517FBF">
              <w:rPr>
                <w:rFonts w:cs="Arial"/>
              </w:rPr>
              <w:t>.4</w:t>
            </w:r>
          </w:p>
        </w:tc>
      </w:tr>
      <w:tr w:rsidR="00A238EE" w:rsidRPr="00B40734" w14:paraId="005364EA" w14:textId="77777777" w:rsidTr="00A238EE">
        <w:trPr>
          <w:jc w:val="center"/>
        </w:trPr>
        <w:tc>
          <w:tcPr>
            <w:tcW w:w="1417" w:type="dxa"/>
          </w:tcPr>
          <w:p w14:paraId="3300C4AD" w14:textId="77777777" w:rsidR="00A238EE" w:rsidRPr="00B40734" w:rsidRDefault="00A238EE" w:rsidP="00A238EE">
            <w:pPr>
              <w:spacing w:before="60" w:after="60"/>
              <w:rPr>
                <w:rFonts w:cs="Arial"/>
              </w:rPr>
            </w:pPr>
            <w:r w:rsidRPr="00B40734">
              <w:rPr>
                <w:rFonts w:cs="Arial"/>
              </w:rPr>
              <w:t>1 bed</w:t>
            </w:r>
          </w:p>
        </w:tc>
        <w:tc>
          <w:tcPr>
            <w:tcW w:w="1418" w:type="dxa"/>
          </w:tcPr>
          <w:p w14:paraId="3F85E63B" w14:textId="43C12700" w:rsidR="00A238EE" w:rsidRPr="00517FBF" w:rsidRDefault="00517FBF" w:rsidP="00346E4B">
            <w:pPr>
              <w:spacing w:before="60" w:after="60"/>
              <w:jc w:val="right"/>
              <w:rPr>
                <w:rFonts w:cs="Arial"/>
              </w:rPr>
            </w:pPr>
            <w:r w:rsidRPr="00517FBF">
              <w:rPr>
                <w:rFonts w:cs="Arial"/>
              </w:rPr>
              <w:t>788</w:t>
            </w:r>
          </w:p>
        </w:tc>
        <w:tc>
          <w:tcPr>
            <w:tcW w:w="1248" w:type="dxa"/>
          </w:tcPr>
          <w:p w14:paraId="0EDE46EB" w14:textId="72609E88" w:rsidR="00A238EE" w:rsidRPr="00517FBF" w:rsidRDefault="00517FBF" w:rsidP="00A238EE">
            <w:pPr>
              <w:spacing w:before="60" w:after="60"/>
              <w:jc w:val="right"/>
              <w:rPr>
                <w:rFonts w:cs="Arial"/>
              </w:rPr>
            </w:pPr>
            <w:r w:rsidRPr="00517FBF">
              <w:rPr>
                <w:rFonts w:cs="Arial"/>
              </w:rPr>
              <w:t>41</w:t>
            </w:r>
          </w:p>
        </w:tc>
      </w:tr>
      <w:tr w:rsidR="00517FBF" w:rsidRPr="00517FBF" w14:paraId="7A0DC877" w14:textId="77777777" w:rsidTr="00A238EE">
        <w:trPr>
          <w:jc w:val="center"/>
        </w:trPr>
        <w:tc>
          <w:tcPr>
            <w:tcW w:w="1417" w:type="dxa"/>
          </w:tcPr>
          <w:p w14:paraId="1A5319AF" w14:textId="3A240E7A" w:rsidR="00A238EE" w:rsidRPr="00517FBF" w:rsidRDefault="00A238EE" w:rsidP="00A238EE">
            <w:pPr>
              <w:spacing w:before="60" w:after="60"/>
              <w:rPr>
                <w:rFonts w:cs="Arial"/>
              </w:rPr>
            </w:pPr>
            <w:r w:rsidRPr="00517FBF">
              <w:rPr>
                <w:rFonts w:cs="Arial"/>
              </w:rPr>
              <w:t>2 bed</w:t>
            </w:r>
            <w:r w:rsidR="001F5117" w:rsidRPr="00517FBF">
              <w:rPr>
                <w:rFonts w:cs="Arial"/>
              </w:rPr>
              <w:t>s</w:t>
            </w:r>
          </w:p>
        </w:tc>
        <w:tc>
          <w:tcPr>
            <w:tcW w:w="1418" w:type="dxa"/>
          </w:tcPr>
          <w:p w14:paraId="010D1CA8" w14:textId="3A9A8138" w:rsidR="00A238EE" w:rsidRPr="00517FBF" w:rsidRDefault="00517FBF" w:rsidP="00346E4B">
            <w:pPr>
              <w:spacing w:before="60" w:after="60"/>
              <w:jc w:val="right"/>
              <w:rPr>
                <w:rFonts w:cs="Arial"/>
              </w:rPr>
            </w:pPr>
            <w:r w:rsidRPr="00517FBF">
              <w:rPr>
                <w:rFonts w:cs="Arial"/>
              </w:rPr>
              <w:t>988</w:t>
            </w:r>
          </w:p>
        </w:tc>
        <w:tc>
          <w:tcPr>
            <w:tcW w:w="1248" w:type="dxa"/>
          </w:tcPr>
          <w:p w14:paraId="6F10FED9" w14:textId="5EB829DA" w:rsidR="00A238EE" w:rsidRPr="00517FBF" w:rsidRDefault="00517FBF" w:rsidP="00A238EE">
            <w:pPr>
              <w:spacing w:before="60" w:after="60"/>
              <w:jc w:val="right"/>
              <w:rPr>
                <w:rFonts w:cs="Arial"/>
              </w:rPr>
            </w:pPr>
            <w:r w:rsidRPr="00517FBF">
              <w:rPr>
                <w:rFonts w:cs="Arial"/>
              </w:rPr>
              <w:t>51.3</w:t>
            </w:r>
          </w:p>
        </w:tc>
      </w:tr>
      <w:tr w:rsidR="00517FBF" w:rsidRPr="00517FBF" w14:paraId="77E77CB1" w14:textId="77777777" w:rsidTr="00A238EE">
        <w:trPr>
          <w:jc w:val="center"/>
        </w:trPr>
        <w:tc>
          <w:tcPr>
            <w:tcW w:w="1417" w:type="dxa"/>
          </w:tcPr>
          <w:p w14:paraId="7DD081ED" w14:textId="144C4307" w:rsidR="00A238EE" w:rsidRPr="00517FBF" w:rsidRDefault="00A238EE" w:rsidP="00A238EE">
            <w:pPr>
              <w:spacing w:before="60" w:after="60"/>
              <w:rPr>
                <w:rFonts w:cs="Arial"/>
              </w:rPr>
            </w:pPr>
            <w:r w:rsidRPr="00517FBF">
              <w:rPr>
                <w:rFonts w:cs="Arial"/>
              </w:rPr>
              <w:t>3 bed</w:t>
            </w:r>
            <w:r w:rsidR="001F5117" w:rsidRPr="00517FBF">
              <w:rPr>
                <w:rFonts w:cs="Arial"/>
              </w:rPr>
              <w:t>s</w:t>
            </w:r>
          </w:p>
        </w:tc>
        <w:tc>
          <w:tcPr>
            <w:tcW w:w="1418" w:type="dxa"/>
          </w:tcPr>
          <w:p w14:paraId="43155550" w14:textId="74A190CE" w:rsidR="00A238EE" w:rsidRPr="00517FBF" w:rsidRDefault="00517FBF" w:rsidP="00346E4B">
            <w:pPr>
              <w:spacing w:before="60" w:after="60"/>
              <w:jc w:val="right"/>
              <w:rPr>
                <w:rFonts w:cs="Arial"/>
              </w:rPr>
            </w:pPr>
            <w:r w:rsidRPr="00517FBF">
              <w:rPr>
                <w:rFonts w:cs="Arial"/>
              </w:rPr>
              <w:t>83</w:t>
            </w:r>
          </w:p>
        </w:tc>
        <w:tc>
          <w:tcPr>
            <w:tcW w:w="1248" w:type="dxa"/>
          </w:tcPr>
          <w:p w14:paraId="2476AD6A" w14:textId="2A7752D2" w:rsidR="00A238EE" w:rsidRPr="00517FBF" w:rsidRDefault="00517FBF" w:rsidP="00A238EE">
            <w:pPr>
              <w:spacing w:before="60" w:after="60"/>
              <w:jc w:val="right"/>
              <w:rPr>
                <w:rFonts w:cs="Arial"/>
              </w:rPr>
            </w:pPr>
            <w:r w:rsidRPr="00517FBF">
              <w:rPr>
                <w:rFonts w:cs="Arial"/>
              </w:rPr>
              <w:t>4.3</w:t>
            </w:r>
          </w:p>
        </w:tc>
      </w:tr>
      <w:tr w:rsidR="00517FBF" w:rsidRPr="00517FBF" w14:paraId="4AADACD9" w14:textId="77777777" w:rsidTr="00A238EE">
        <w:trPr>
          <w:jc w:val="center"/>
        </w:trPr>
        <w:tc>
          <w:tcPr>
            <w:tcW w:w="1417" w:type="dxa"/>
          </w:tcPr>
          <w:p w14:paraId="06A7938E" w14:textId="4CB41BD0" w:rsidR="00A238EE" w:rsidRPr="00517FBF" w:rsidRDefault="00A238EE" w:rsidP="00A238EE">
            <w:pPr>
              <w:spacing w:before="60" w:after="60"/>
              <w:rPr>
                <w:rFonts w:cs="Arial"/>
              </w:rPr>
            </w:pPr>
            <w:r w:rsidRPr="00517FBF">
              <w:rPr>
                <w:rFonts w:cs="Arial"/>
              </w:rPr>
              <w:t>4+ bed</w:t>
            </w:r>
            <w:r w:rsidR="001F5117" w:rsidRPr="00517FBF">
              <w:rPr>
                <w:rFonts w:cs="Arial"/>
              </w:rPr>
              <w:t>s</w:t>
            </w:r>
          </w:p>
        </w:tc>
        <w:tc>
          <w:tcPr>
            <w:tcW w:w="1418" w:type="dxa"/>
          </w:tcPr>
          <w:p w14:paraId="65D46ECC" w14:textId="77777777" w:rsidR="00A238EE" w:rsidRPr="00517FBF" w:rsidRDefault="00CB4327" w:rsidP="00A238EE">
            <w:pPr>
              <w:spacing w:before="60" w:after="60"/>
              <w:jc w:val="right"/>
              <w:rPr>
                <w:rFonts w:cs="Arial"/>
              </w:rPr>
            </w:pPr>
            <w:r w:rsidRPr="00517FBF">
              <w:rPr>
                <w:rFonts w:cs="Arial"/>
              </w:rPr>
              <w:t>-</w:t>
            </w:r>
          </w:p>
        </w:tc>
        <w:tc>
          <w:tcPr>
            <w:tcW w:w="1248" w:type="dxa"/>
          </w:tcPr>
          <w:p w14:paraId="21AB7B80" w14:textId="753D1243" w:rsidR="00A238EE" w:rsidRPr="00517FBF" w:rsidRDefault="00517FBF" w:rsidP="00A238EE">
            <w:pPr>
              <w:spacing w:before="60" w:after="60"/>
              <w:jc w:val="right"/>
              <w:rPr>
                <w:rFonts w:cs="Arial"/>
              </w:rPr>
            </w:pPr>
            <w:r w:rsidRPr="00517FBF">
              <w:rPr>
                <w:rFonts w:cs="Arial"/>
              </w:rPr>
              <w:t>-</w:t>
            </w:r>
          </w:p>
        </w:tc>
      </w:tr>
      <w:tr w:rsidR="00517FBF" w:rsidRPr="00517FBF" w14:paraId="1B553611" w14:textId="77777777" w:rsidTr="00A238EE">
        <w:trPr>
          <w:jc w:val="center"/>
        </w:trPr>
        <w:tc>
          <w:tcPr>
            <w:tcW w:w="1417" w:type="dxa"/>
          </w:tcPr>
          <w:p w14:paraId="03CCE863" w14:textId="77777777" w:rsidR="00A238EE" w:rsidRPr="00AD1200" w:rsidRDefault="00A238EE" w:rsidP="00A238EE">
            <w:pPr>
              <w:spacing w:before="60" w:after="60"/>
              <w:rPr>
                <w:rFonts w:cs="Arial"/>
              </w:rPr>
            </w:pPr>
            <w:r w:rsidRPr="00AD1200">
              <w:rPr>
                <w:rFonts w:cs="Arial"/>
              </w:rPr>
              <w:t>Total</w:t>
            </w:r>
          </w:p>
        </w:tc>
        <w:tc>
          <w:tcPr>
            <w:tcW w:w="1418" w:type="dxa"/>
          </w:tcPr>
          <w:p w14:paraId="66FBD27D" w14:textId="73260E23" w:rsidR="00A238EE" w:rsidRPr="00AD1200" w:rsidRDefault="00CB4327" w:rsidP="00A238EE">
            <w:pPr>
              <w:spacing w:before="60" w:after="60"/>
              <w:jc w:val="right"/>
              <w:rPr>
                <w:rFonts w:cs="Arial"/>
              </w:rPr>
            </w:pPr>
            <w:r w:rsidRPr="0035749E">
              <w:rPr>
                <w:rFonts w:cs="Arial"/>
              </w:rPr>
              <w:t>1</w:t>
            </w:r>
            <w:r w:rsidR="00097F7F">
              <w:rPr>
                <w:rFonts w:cs="Arial"/>
              </w:rPr>
              <w:t>,</w:t>
            </w:r>
            <w:r w:rsidR="00517FBF" w:rsidRPr="0035749E">
              <w:rPr>
                <w:rFonts w:cs="Arial"/>
              </w:rPr>
              <w:t>926</w:t>
            </w:r>
          </w:p>
        </w:tc>
        <w:tc>
          <w:tcPr>
            <w:tcW w:w="1248" w:type="dxa"/>
          </w:tcPr>
          <w:p w14:paraId="65C6EBE9" w14:textId="77777777" w:rsidR="00A238EE" w:rsidRPr="00517FBF" w:rsidRDefault="00A238EE" w:rsidP="00A238EE">
            <w:pPr>
              <w:spacing w:before="60" w:after="60"/>
              <w:jc w:val="right"/>
              <w:rPr>
                <w:rFonts w:cs="Arial"/>
              </w:rPr>
            </w:pPr>
            <w:r w:rsidRPr="00AD1200">
              <w:rPr>
                <w:rFonts w:cs="Arial"/>
              </w:rPr>
              <w:t>100</w:t>
            </w:r>
          </w:p>
        </w:tc>
      </w:tr>
    </w:tbl>
    <w:p w14:paraId="2F07FDA6" w14:textId="774F87C9" w:rsidR="00A238EE" w:rsidRPr="00517FBF" w:rsidRDefault="002B2D6C" w:rsidP="00A238EE">
      <w:pPr>
        <w:spacing w:before="60" w:after="60"/>
        <w:rPr>
          <w:rFonts w:cs="Arial"/>
          <w:sz w:val="18"/>
          <w:szCs w:val="18"/>
        </w:rPr>
      </w:pPr>
      <w:r w:rsidRPr="00517FBF">
        <w:rPr>
          <w:rFonts w:cs="Arial"/>
        </w:rPr>
        <w:tab/>
      </w:r>
      <w:r w:rsidRPr="00517FBF">
        <w:rPr>
          <w:rFonts w:cs="Arial"/>
        </w:rPr>
        <w:tab/>
      </w:r>
      <w:r w:rsidR="000531E8" w:rsidRPr="00517FBF">
        <w:rPr>
          <w:rFonts w:cs="Arial"/>
          <w:sz w:val="18"/>
          <w:szCs w:val="18"/>
        </w:rPr>
        <w:t>Sourc</w:t>
      </w:r>
      <w:r w:rsidRPr="00517FBF">
        <w:rPr>
          <w:rFonts w:cs="Arial"/>
          <w:sz w:val="18"/>
          <w:szCs w:val="18"/>
        </w:rPr>
        <w:t xml:space="preserve">e: </w:t>
      </w:r>
      <w:r w:rsidR="00B27EB3">
        <w:rPr>
          <w:rFonts w:cs="Arial"/>
          <w:sz w:val="18"/>
          <w:szCs w:val="18"/>
        </w:rPr>
        <w:t xml:space="preserve">Figures derived from </w:t>
      </w:r>
      <w:r w:rsidR="000531E8" w:rsidRPr="00517FBF">
        <w:rPr>
          <w:rFonts w:cs="Arial"/>
          <w:sz w:val="18"/>
          <w:szCs w:val="18"/>
        </w:rPr>
        <w:t xml:space="preserve">DCC Housing Task Force </w:t>
      </w:r>
    </w:p>
    <w:p w14:paraId="140CA9E3" w14:textId="77777777" w:rsidR="00720329" w:rsidRPr="002B2D6C" w:rsidRDefault="00720329" w:rsidP="00A238EE">
      <w:pPr>
        <w:spacing w:before="60" w:after="60"/>
        <w:rPr>
          <w:rFonts w:cs="Arial"/>
          <w:color w:val="A8D08D" w:themeColor="accent6" w:themeTint="99"/>
          <w:sz w:val="18"/>
          <w:szCs w:val="18"/>
        </w:rPr>
      </w:pPr>
    </w:p>
    <w:p w14:paraId="684B9368" w14:textId="4899BAD9" w:rsidR="00972D2E" w:rsidRPr="00C24047" w:rsidRDefault="00A238EE" w:rsidP="005E62F0">
      <w:pPr>
        <w:spacing w:before="60" w:after="60"/>
        <w:rPr>
          <w:rFonts w:cs="Arial"/>
          <w:highlight w:val="yellow"/>
        </w:rPr>
      </w:pPr>
      <w:r w:rsidRPr="0035749E">
        <w:rPr>
          <w:rFonts w:cs="Arial"/>
        </w:rPr>
        <w:t>For broader context, the total no. of residential units granted in 2024 was 2,301</w:t>
      </w:r>
      <w:r w:rsidRPr="0035749E">
        <w:rPr>
          <w:rFonts w:cs="Arial"/>
          <w:b/>
        </w:rPr>
        <w:t xml:space="preserve"> </w:t>
      </w:r>
      <w:r w:rsidRPr="0035749E">
        <w:rPr>
          <w:rFonts w:cs="Arial"/>
        </w:rPr>
        <w:t xml:space="preserve">(Source: CSO quarterly figures). </w:t>
      </w:r>
      <w:r w:rsidR="00972D2E" w:rsidRPr="0035749E">
        <w:rPr>
          <w:rFonts w:cs="Arial"/>
        </w:rPr>
        <w:t>This higher figure reflects a broader source</w:t>
      </w:r>
      <w:r w:rsidR="004E5BA1" w:rsidRPr="0035749E">
        <w:rPr>
          <w:rFonts w:cs="Arial"/>
        </w:rPr>
        <w:t>, this time</w:t>
      </w:r>
      <w:r w:rsidR="00972D2E" w:rsidRPr="0035749E">
        <w:rPr>
          <w:rFonts w:cs="Arial"/>
        </w:rPr>
        <w:t xml:space="preserve"> includ</w:t>
      </w:r>
      <w:r w:rsidR="00C24047" w:rsidRPr="0035749E">
        <w:rPr>
          <w:rFonts w:cs="Arial"/>
        </w:rPr>
        <w:t>ing</w:t>
      </w:r>
      <w:r w:rsidR="00972D2E" w:rsidRPr="0035749E">
        <w:rPr>
          <w:rFonts w:cs="Arial"/>
        </w:rPr>
        <w:t xml:space="preserve"> </w:t>
      </w:r>
      <w:r w:rsidR="004E5BA1" w:rsidRPr="0035749E">
        <w:rPr>
          <w:rFonts w:cs="Arial"/>
        </w:rPr>
        <w:t xml:space="preserve">those </w:t>
      </w:r>
      <w:r w:rsidR="00972D2E" w:rsidRPr="0035749E">
        <w:rPr>
          <w:rFonts w:cs="Arial"/>
        </w:rPr>
        <w:t>units granted on foot of permissions for less than 10 units.</w:t>
      </w:r>
      <w:r w:rsidR="00972D2E">
        <w:rPr>
          <w:rFonts w:cs="Arial"/>
        </w:rPr>
        <w:t xml:space="preserve"> </w:t>
      </w:r>
      <w:r w:rsidRPr="00AD1200">
        <w:rPr>
          <w:rFonts w:cs="Arial"/>
        </w:rPr>
        <w:t>Breakdown: 235 Houses and 2,066</w:t>
      </w:r>
      <w:r w:rsidRPr="00B927A0">
        <w:rPr>
          <w:rFonts w:cs="Arial"/>
        </w:rPr>
        <w:t xml:space="preserve"> Private flats/apartments</w:t>
      </w:r>
      <w:r w:rsidR="00D4760E">
        <w:rPr>
          <w:rFonts w:cs="Arial"/>
        </w:rPr>
        <w:t xml:space="preserve">. </w:t>
      </w:r>
    </w:p>
    <w:p w14:paraId="4F092D9A" w14:textId="77777777" w:rsidR="00E168F0" w:rsidRPr="00C1602E" w:rsidRDefault="00E168F0" w:rsidP="005E62F0">
      <w:pPr>
        <w:spacing w:before="60" w:after="60"/>
        <w:rPr>
          <w:rFonts w:cs="Arial"/>
        </w:rPr>
      </w:pPr>
    </w:p>
    <w:p w14:paraId="23B17F4F" w14:textId="77777777" w:rsidR="00A238EE" w:rsidRDefault="00A238EE" w:rsidP="00A238EE">
      <w:pPr>
        <w:spacing w:before="60" w:after="60"/>
        <w:rPr>
          <w:rFonts w:cs="Arial"/>
        </w:rPr>
      </w:pPr>
    </w:p>
    <w:p w14:paraId="6B6DCE71" w14:textId="77777777" w:rsidR="00A238EE" w:rsidRPr="00B40734" w:rsidRDefault="00A238EE" w:rsidP="00A238EE">
      <w:pPr>
        <w:numPr>
          <w:ilvl w:val="0"/>
          <w:numId w:val="5"/>
        </w:numPr>
        <w:spacing w:before="60" w:after="60" w:line="276" w:lineRule="auto"/>
        <w:contextualSpacing/>
        <w:rPr>
          <w:rFonts w:cs="Arial"/>
          <w:i/>
        </w:rPr>
      </w:pPr>
      <w:r w:rsidRPr="00B40734">
        <w:rPr>
          <w:rFonts w:cs="Arial"/>
          <w:i/>
        </w:rPr>
        <w:t>Total new dwellings commenced and completed with breakdown of unit type (a KPI).</w:t>
      </w:r>
    </w:p>
    <w:p w14:paraId="6E95AF99" w14:textId="77777777" w:rsidR="00A238EE" w:rsidRDefault="00A238EE" w:rsidP="00A238EE">
      <w:pPr>
        <w:spacing w:before="60" w:after="60"/>
        <w:rPr>
          <w:rFonts w:cs="Arial"/>
        </w:rPr>
      </w:pPr>
    </w:p>
    <w:p w14:paraId="7F7E65CE" w14:textId="75ED19C7" w:rsidR="00A238EE" w:rsidRDefault="00A238EE" w:rsidP="00A238EE">
      <w:pPr>
        <w:spacing w:before="60" w:after="60"/>
        <w:rPr>
          <w:rFonts w:cs="Arial"/>
        </w:rPr>
      </w:pPr>
      <w:r w:rsidRPr="00B40734">
        <w:rPr>
          <w:rFonts w:cs="Arial"/>
        </w:rPr>
        <w:t xml:space="preserve">Commencement figures for total residential units Jan – Dec 2024 equal </w:t>
      </w:r>
      <w:r w:rsidRPr="00C16CAF">
        <w:rPr>
          <w:rFonts w:cs="Arial"/>
        </w:rPr>
        <w:t xml:space="preserve">7,865 </w:t>
      </w:r>
      <w:r w:rsidRPr="00B40734">
        <w:rPr>
          <w:rFonts w:cs="Arial"/>
        </w:rPr>
        <w:t>units</w:t>
      </w:r>
      <w:r>
        <w:rPr>
          <w:rFonts w:cs="Arial"/>
        </w:rPr>
        <w:t xml:space="preserve">, </w:t>
      </w:r>
      <w:r w:rsidRPr="00383BF0">
        <w:rPr>
          <w:rFonts w:cs="Arial"/>
        </w:rPr>
        <w:t xml:space="preserve">compared to 4,844 units for 2023. </w:t>
      </w:r>
      <w:r w:rsidR="00CF06BC">
        <w:rPr>
          <w:rFonts w:cs="Arial"/>
        </w:rPr>
        <w:t>(</w:t>
      </w:r>
      <w:r w:rsidRPr="00B40734">
        <w:rPr>
          <w:rFonts w:cs="Arial"/>
        </w:rPr>
        <w:t>Source</w:t>
      </w:r>
      <w:r w:rsidR="00CF06BC">
        <w:rPr>
          <w:rFonts w:cs="Arial"/>
        </w:rPr>
        <w:t>s</w:t>
      </w:r>
      <w:r>
        <w:rPr>
          <w:rFonts w:cs="Arial"/>
        </w:rPr>
        <w:t>:</w:t>
      </w:r>
      <w:r w:rsidRPr="00B40734">
        <w:rPr>
          <w:rFonts w:cs="Arial"/>
        </w:rPr>
        <w:t xml:space="preserve"> CSO (from DHPLG data)</w:t>
      </w:r>
      <w:r w:rsidR="00CF06BC">
        <w:rPr>
          <w:rFonts w:cs="Arial"/>
        </w:rPr>
        <w:t xml:space="preserve"> &amp; Housing Agency data hub)</w:t>
      </w:r>
      <w:r w:rsidRPr="00B40734">
        <w:rPr>
          <w:rFonts w:cs="Arial"/>
        </w:rPr>
        <w:t>.</w:t>
      </w:r>
    </w:p>
    <w:p w14:paraId="6DC4E1F3" w14:textId="77777777" w:rsidR="003C6300" w:rsidRPr="00B40734" w:rsidRDefault="003C6300" w:rsidP="00A238EE">
      <w:pPr>
        <w:spacing w:before="60" w:after="60"/>
        <w:rPr>
          <w:rFonts w:cs="Arial"/>
        </w:rPr>
      </w:pPr>
    </w:p>
    <w:p w14:paraId="2F149F53" w14:textId="2D7754F9" w:rsidR="00A238EE" w:rsidRPr="00B40734" w:rsidRDefault="00A238EE" w:rsidP="00A238EE">
      <w:pPr>
        <w:spacing w:before="60" w:after="60"/>
        <w:rPr>
          <w:rFonts w:cs="Arial"/>
        </w:rPr>
      </w:pPr>
      <w:r w:rsidRPr="00B40734">
        <w:rPr>
          <w:rFonts w:cs="Arial"/>
        </w:rPr>
        <w:t xml:space="preserve">Completions for year 2024 equal </w:t>
      </w:r>
      <w:r w:rsidRPr="00383BF0">
        <w:rPr>
          <w:rFonts w:cs="Arial"/>
        </w:rPr>
        <w:t xml:space="preserve">3,355 </w:t>
      </w:r>
      <w:r w:rsidRPr="00B40734">
        <w:rPr>
          <w:rFonts w:cs="Arial"/>
        </w:rPr>
        <w:t xml:space="preserve">units </w:t>
      </w:r>
      <w:r w:rsidRPr="00383BF0">
        <w:rPr>
          <w:rFonts w:cs="Arial"/>
        </w:rPr>
        <w:t>compared to 3,433 units for 2023</w:t>
      </w:r>
      <w:r w:rsidR="00B27EB3">
        <w:rPr>
          <w:rFonts w:cs="Arial"/>
        </w:rPr>
        <w:t>.</w:t>
      </w:r>
      <w:r w:rsidRPr="00383BF0">
        <w:rPr>
          <w:rFonts w:cs="Arial"/>
        </w:rPr>
        <w:t xml:space="preserve"> </w:t>
      </w:r>
      <w:r w:rsidRPr="00B40734">
        <w:rPr>
          <w:rFonts w:cs="Arial"/>
        </w:rPr>
        <w:t>(Source</w:t>
      </w:r>
      <w:r>
        <w:rPr>
          <w:rFonts w:cs="Arial"/>
        </w:rPr>
        <w:t>:</w:t>
      </w:r>
      <w:r w:rsidRPr="00B40734">
        <w:rPr>
          <w:rFonts w:cs="Arial"/>
        </w:rPr>
        <w:t xml:space="preserve"> CSO figures by Local Electoral Area).</w:t>
      </w:r>
    </w:p>
    <w:p w14:paraId="453106FF" w14:textId="62F9BFA4" w:rsidR="00A238EE" w:rsidRPr="00B927A0" w:rsidRDefault="00076C0B" w:rsidP="00A238EE">
      <w:pPr>
        <w:spacing w:before="60" w:after="60"/>
        <w:rPr>
          <w:rFonts w:cs="Arial"/>
        </w:rPr>
      </w:pPr>
      <w:r>
        <w:rPr>
          <w:rFonts w:cs="Arial"/>
        </w:rPr>
        <w:t xml:space="preserve">Table 2 hereunder gives a </w:t>
      </w:r>
      <w:r w:rsidRPr="00B927A0">
        <w:rPr>
          <w:rFonts w:cs="Arial"/>
        </w:rPr>
        <w:t xml:space="preserve">breakdown </w:t>
      </w:r>
      <w:r w:rsidR="008D324F" w:rsidRPr="00B927A0">
        <w:rPr>
          <w:rFonts w:cs="Arial"/>
        </w:rPr>
        <w:t>by</w:t>
      </w:r>
      <w:r w:rsidRPr="00B927A0">
        <w:rPr>
          <w:rFonts w:cs="Arial"/>
        </w:rPr>
        <w:t xml:space="preserve"> unit type</w:t>
      </w:r>
      <w:r w:rsidR="008D324F" w:rsidRPr="00B927A0">
        <w:rPr>
          <w:rFonts w:cs="Arial"/>
        </w:rPr>
        <w:t>.</w:t>
      </w:r>
      <w:r w:rsidRPr="00B927A0">
        <w:rPr>
          <w:rFonts w:cs="Arial"/>
        </w:rPr>
        <w:t xml:space="preserve"> </w:t>
      </w:r>
      <w:r w:rsidR="008D324F" w:rsidRPr="00B927A0">
        <w:rPr>
          <w:rFonts w:cs="Arial"/>
        </w:rPr>
        <w:t xml:space="preserve">(Note that there is no available breakdown </w:t>
      </w:r>
      <w:r w:rsidR="009240CE" w:rsidRPr="00B927A0">
        <w:rPr>
          <w:rFonts w:cs="Arial"/>
        </w:rPr>
        <w:t xml:space="preserve">of completions </w:t>
      </w:r>
      <w:r w:rsidR="008D324F" w:rsidRPr="00B927A0">
        <w:rPr>
          <w:rFonts w:cs="Arial"/>
        </w:rPr>
        <w:t>by number of bedrooms)</w:t>
      </w:r>
    </w:p>
    <w:p w14:paraId="695B7B69" w14:textId="77777777" w:rsidR="00076C0B" w:rsidRPr="00B927A0" w:rsidRDefault="00076C0B" w:rsidP="00A238EE">
      <w:pPr>
        <w:spacing w:before="60" w:after="60"/>
        <w:rPr>
          <w:rFonts w:cs="Arial"/>
        </w:rPr>
      </w:pPr>
    </w:p>
    <w:p w14:paraId="7B7C90D9" w14:textId="77777777" w:rsidR="00076C0B" w:rsidRPr="00B927A0" w:rsidRDefault="00076C0B" w:rsidP="00076C0B">
      <w:pPr>
        <w:keepNext/>
        <w:spacing w:after="200" w:line="276" w:lineRule="auto"/>
        <w:contextualSpacing/>
        <w:rPr>
          <w:rFonts w:eastAsia="Calibri" w:cs="Arial"/>
          <w:szCs w:val="16"/>
        </w:rPr>
      </w:pPr>
      <w:r w:rsidRPr="00B927A0">
        <w:rPr>
          <w:rFonts w:eastAsia="Calibri" w:cstheme="minorHAnsi"/>
          <w:b/>
          <w:bCs/>
          <w:szCs w:val="16"/>
        </w:rPr>
        <w:lastRenderedPageBreak/>
        <w:t xml:space="preserve">Table 2: </w:t>
      </w:r>
      <w:r w:rsidRPr="00B927A0">
        <w:rPr>
          <w:rFonts w:eastAsia="Calibri" w:cs="Arial"/>
          <w:b/>
          <w:bCs/>
          <w:szCs w:val="16"/>
        </w:rPr>
        <w:t xml:space="preserve">Units completed in 2024 by unit type </w:t>
      </w:r>
      <w:bookmarkStart w:id="6" w:name="_Hlk207189593"/>
      <w:r w:rsidRPr="00B927A0">
        <w:rPr>
          <w:rFonts w:eastAsia="Calibri" w:cs="Arial"/>
          <w:szCs w:val="16"/>
        </w:rPr>
        <w:t xml:space="preserve">(Source; graph in National Housing Delivery Tracker Dashboard, Dept Housing, Local Govt and Heritage. Also, on </w:t>
      </w:r>
      <w:hyperlink r:id="rId11" w:history="1">
        <w:r w:rsidRPr="00B927A0">
          <w:rPr>
            <w:rStyle w:val="Hyperlink"/>
            <w:rFonts w:eastAsia="Calibri" w:cs="Arial"/>
            <w:szCs w:val="16"/>
          </w:rPr>
          <w:t>www.geohive.ie</w:t>
        </w:r>
      </w:hyperlink>
      <w:r w:rsidRPr="00B927A0">
        <w:rPr>
          <w:rFonts w:eastAsia="Calibri" w:cs="Arial"/>
          <w:szCs w:val="16"/>
        </w:rPr>
        <w:t>)</w:t>
      </w:r>
      <w:bookmarkEnd w:id="6"/>
    </w:p>
    <w:p w14:paraId="74CDD4CF" w14:textId="77777777" w:rsidR="00076C0B" w:rsidRPr="00B927A0" w:rsidRDefault="00076C0B" w:rsidP="00076C0B">
      <w:pPr>
        <w:keepNext/>
        <w:spacing w:after="200" w:line="276" w:lineRule="auto"/>
        <w:contextualSpacing/>
        <w:rPr>
          <w:rFonts w:eastAsia="Calibri" w:cs="Arial"/>
          <w:b/>
          <w:bCs/>
          <w:szCs w:val="16"/>
        </w:rPr>
      </w:pPr>
    </w:p>
    <w:tbl>
      <w:tblPr>
        <w:tblStyle w:val="TableGrid1"/>
        <w:tblW w:w="6095"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26"/>
        <w:gridCol w:w="3969"/>
      </w:tblGrid>
      <w:tr w:rsidR="00076C0B" w:rsidRPr="00B927A0" w14:paraId="652A5C09" w14:textId="77777777" w:rsidTr="00FD203F">
        <w:tc>
          <w:tcPr>
            <w:tcW w:w="2126" w:type="dxa"/>
          </w:tcPr>
          <w:p w14:paraId="1769EC55" w14:textId="77777777" w:rsidR="00076C0B" w:rsidRPr="00B927A0" w:rsidRDefault="00076C0B" w:rsidP="00D351C2">
            <w:pPr>
              <w:spacing w:before="60" w:after="60"/>
              <w:contextualSpacing/>
              <w:rPr>
                <w:rFonts w:cs="Arial"/>
                <w:b/>
                <w:bCs/>
              </w:rPr>
            </w:pPr>
            <w:r w:rsidRPr="00B927A0">
              <w:rPr>
                <w:rFonts w:cs="Arial"/>
                <w:b/>
                <w:bCs/>
              </w:rPr>
              <w:t>Type</w:t>
            </w:r>
          </w:p>
        </w:tc>
        <w:tc>
          <w:tcPr>
            <w:tcW w:w="3969" w:type="dxa"/>
          </w:tcPr>
          <w:p w14:paraId="559C3858" w14:textId="2A0D15E2" w:rsidR="00076C0B" w:rsidRPr="00B927A0" w:rsidRDefault="00076C0B" w:rsidP="00D351C2">
            <w:pPr>
              <w:spacing w:before="60" w:after="60"/>
              <w:contextualSpacing/>
              <w:rPr>
                <w:rFonts w:cs="Arial"/>
                <w:b/>
                <w:bCs/>
              </w:rPr>
            </w:pPr>
            <w:r w:rsidRPr="00B927A0">
              <w:rPr>
                <w:rFonts w:cs="Arial"/>
                <w:b/>
                <w:bCs/>
              </w:rPr>
              <w:t>Number units completed</w:t>
            </w:r>
            <w:r w:rsidR="00FD203F" w:rsidRPr="00B927A0">
              <w:rPr>
                <w:rFonts w:cs="Arial"/>
                <w:b/>
                <w:bCs/>
              </w:rPr>
              <w:t xml:space="preserve"> in </w:t>
            </w:r>
            <w:r w:rsidRPr="00B927A0">
              <w:rPr>
                <w:rFonts w:cs="Arial"/>
                <w:b/>
                <w:bCs/>
              </w:rPr>
              <w:t>2024</w:t>
            </w:r>
          </w:p>
        </w:tc>
      </w:tr>
      <w:tr w:rsidR="00076C0B" w:rsidRPr="00B927A0" w14:paraId="4013BD08" w14:textId="77777777" w:rsidTr="00FD203F">
        <w:tc>
          <w:tcPr>
            <w:tcW w:w="2126" w:type="dxa"/>
          </w:tcPr>
          <w:p w14:paraId="2519BDD5" w14:textId="77777777" w:rsidR="00076C0B" w:rsidRPr="00B927A0" w:rsidRDefault="00076C0B" w:rsidP="00D351C2">
            <w:pPr>
              <w:spacing w:before="60" w:after="60"/>
              <w:contextualSpacing/>
              <w:rPr>
                <w:rFonts w:cs="Arial"/>
              </w:rPr>
            </w:pPr>
            <w:r w:rsidRPr="00B927A0">
              <w:rPr>
                <w:rFonts w:cs="Arial"/>
              </w:rPr>
              <w:t>Apartments</w:t>
            </w:r>
          </w:p>
        </w:tc>
        <w:tc>
          <w:tcPr>
            <w:tcW w:w="3969" w:type="dxa"/>
          </w:tcPr>
          <w:p w14:paraId="679451D1" w14:textId="15F94FD3" w:rsidR="00076C0B" w:rsidRPr="00B927A0" w:rsidRDefault="00076C0B" w:rsidP="00D351C2">
            <w:pPr>
              <w:spacing w:before="60" w:after="60"/>
              <w:contextualSpacing/>
              <w:jc w:val="center"/>
              <w:rPr>
                <w:rFonts w:cs="Arial"/>
              </w:rPr>
            </w:pPr>
            <w:r w:rsidRPr="00B927A0">
              <w:rPr>
                <w:rFonts w:cs="Arial"/>
              </w:rPr>
              <w:t xml:space="preserve">                                       3</w:t>
            </w:r>
            <w:r w:rsidR="00097F7F">
              <w:rPr>
                <w:rFonts w:cs="Arial"/>
              </w:rPr>
              <w:t>,</w:t>
            </w:r>
            <w:r w:rsidRPr="00B927A0">
              <w:rPr>
                <w:rFonts w:cs="Arial"/>
              </w:rPr>
              <w:t xml:space="preserve">201 </w:t>
            </w:r>
          </w:p>
        </w:tc>
      </w:tr>
      <w:tr w:rsidR="00076C0B" w:rsidRPr="00B927A0" w14:paraId="3BBBF991" w14:textId="77777777" w:rsidTr="00FD203F">
        <w:tc>
          <w:tcPr>
            <w:tcW w:w="2126" w:type="dxa"/>
          </w:tcPr>
          <w:p w14:paraId="5047AA48" w14:textId="77777777" w:rsidR="00076C0B" w:rsidRPr="00B927A0" w:rsidRDefault="00076C0B" w:rsidP="00D351C2">
            <w:pPr>
              <w:spacing w:before="60" w:after="60"/>
              <w:contextualSpacing/>
              <w:rPr>
                <w:rFonts w:cs="Arial"/>
              </w:rPr>
            </w:pPr>
            <w:r w:rsidRPr="00B927A0">
              <w:rPr>
                <w:rFonts w:cs="Arial"/>
              </w:rPr>
              <w:t>Scheme Houses</w:t>
            </w:r>
          </w:p>
        </w:tc>
        <w:tc>
          <w:tcPr>
            <w:tcW w:w="3969" w:type="dxa"/>
          </w:tcPr>
          <w:p w14:paraId="685C65D8" w14:textId="77777777" w:rsidR="00076C0B" w:rsidRPr="00B927A0" w:rsidRDefault="00076C0B" w:rsidP="00D351C2">
            <w:pPr>
              <w:spacing w:before="60" w:after="60"/>
              <w:contextualSpacing/>
              <w:jc w:val="center"/>
              <w:rPr>
                <w:rFonts w:cs="Arial"/>
              </w:rPr>
            </w:pPr>
            <w:r w:rsidRPr="00B927A0">
              <w:rPr>
                <w:rFonts w:cs="Arial"/>
              </w:rPr>
              <w:t xml:space="preserve">                                           87 </w:t>
            </w:r>
          </w:p>
        </w:tc>
      </w:tr>
      <w:tr w:rsidR="00076C0B" w:rsidRPr="00B927A0" w14:paraId="1AEB7E25" w14:textId="77777777" w:rsidTr="00FD203F">
        <w:tc>
          <w:tcPr>
            <w:tcW w:w="2126" w:type="dxa"/>
          </w:tcPr>
          <w:p w14:paraId="3562114F" w14:textId="77777777" w:rsidR="00076C0B" w:rsidRPr="00B927A0" w:rsidRDefault="00076C0B" w:rsidP="00D351C2">
            <w:pPr>
              <w:spacing w:before="60" w:after="60"/>
              <w:contextualSpacing/>
              <w:rPr>
                <w:rFonts w:cs="Arial"/>
              </w:rPr>
            </w:pPr>
            <w:r w:rsidRPr="00B927A0">
              <w:rPr>
                <w:rFonts w:cs="Arial"/>
              </w:rPr>
              <w:t>Single Houses</w:t>
            </w:r>
          </w:p>
        </w:tc>
        <w:tc>
          <w:tcPr>
            <w:tcW w:w="3969" w:type="dxa"/>
          </w:tcPr>
          <w:p w14:paraId="0E3ED12E" w14:textId="77777777" w:rsidR="00076C0B" w:rsidRPr="00B927A0" w:rsidRDefault="00076C0B" w:rsidP="00D351C2">
            <w:pPr>
              <w:spacing w:before="60" w:after="60"/>
              <w:contextualSpacing/>
              <w:jc w:val="center"/>
              <w:rPr>
                <w:rFonts w:cs="Arial"/>
              </w:rPr>
            </w:pPr>
            <w:r w:rsidRPr="00B927A0">
              <w:rPr>
                <w:rFonts w:cs="Arial"/>
              </w:rPr>
              <w:t xml:space="preserve">                                           67 </w:t>
            </w:r>
          </w:p>
        </w:tc>
      </w:tr>
      <w:tr w:rsidR="00076C0B" w:rsidRPr="00B40734" w14:paraId="2D5EE27B" w14:textId="77777777" w:rsidTr="00FD203F">
        <w:tc>
          <w:tcPr>
            <w:tcW w:w="2126" w:type="dxa"/>
          </w:tcPr>
          <w:p w14:paraId="57532044" w14:textId="77777777" w:rsidR="00076C0B" w:rsidRPr="00B927A0" w:rsidRDefault="00076C0B" w:rsidP="00D351C2">
            <w:pPr>
              <w:spacing w:before="60" w:after="60"/>
              <w:contextualSpacing/>
              <w:rPr>
                <w:rFonts w:cs="Arial"/>
              </w:rPr>
            </w:pPr>
            <w:r w:rsidRPr="00B927A0">
              <w:rPr>
                <w:rFonts w:cs="Arial"/>
              </w:rPr>
              <w:t>Total</w:t>
            </w:r>
          </w:p>
        </w:tc>
        <w:tc>
          <w:tcPr>
            <w:tcW w:w="3969" w:type="dxa"/>
          </w:tcPr>
          <w:p w14:paraId="2B09ADD7" w14:textId="77777777" w:rsidR="00076C0B" w:rsidRPr="00720329" w:rsidRDefault="00076C0B" w:rsidP="00D351C2">
            <w:pPr>
              <w:spacing w:before="60" w:after="60"/>
              <w:ind w:left="360"/>
              <w:contextualSpacing/>
              <w:jc w:val="center"/>
              <w:rPr>
                <w:rFonts w:cs="Arial"/>
              </w:rPr>
            </w:pPr>
            <w:r w:rsidRPr="00B927A0">
              <w:rPr>
                <w:rFonts w:cs="Arial"/>
              </w:rPr>
              <w:t xml:space="preserve">                                </w:t>
            </w:r>
            <w:r w:rsidRPr="00B927A0">
              <w:rPr>
                <w:rFonts w:cs="Arial"/>
                <w:b/>
              </w:rPr>
              <w:t>3,355</w:t>
            </w:r>
            <w:r w:rsidRPr="00720329">
              <w:rPr>
                <w:rFonts w:cs="Arial"/>
              </w:rPr>
              <w:t xml:space="preserve">  </w:t>
            </w:r>
          </w:p>
        </w:tc>
      </w:tr>
    </w:tbl>
    <w:p w14:paraId="188667E1" w14:textId="77777777" w:rsidR="002A4C9F" w:rsidRDefault="002A4C9F" w:rsidP="005E62F0">
      <w:pPr>
        <w:spacing w:before="60" w:after="60"/>
        <w:rPr>
          <w:rFonts w:cs="Arial"/>
        </w:rPr>
      </w:pPr>
    </w:p>
    <w:p w14:paraId="4403CDE1" w14:textId="77777777" w:rsidR="00190B58" w:rsidRDefault="00190B58" w:rsidP="00A238EE">
      <w:pPr>
        <w:spacing w:before="60" w:after="60"/>
        <w:ind w:left="709"/>
        <w:rPr>
          <w:rFonts w:cs="Arial"/>
        </w:rPr>
      </w:pPr>
      <w:bookmarkStart w:id="7" w:name="_Hlk209793614"/>
    </w:p>
    <w:p w14:paraId="11702F0E" w14:textId="77777777" w:rsidR="00A238EE" w:rsidRPr="00B40734" w:rsidRDefault="00A238EE" w:rsidP="00A238EE">
      <w:pPr>
        <w:numPr>
          <w:ilvl w:val="0"/>
          <w:numId w:val="5"/>
        </w:numPr>
        <w:spacing w:before="60" w:after="60"/>
        <w:rPr>
          <w:rFonts w:cs="Arial"/>
        </w:rPr>
      </w:pPr>
      <w:r w:rsidRPr="00B40734">
        <w:rPr>
          <w:rFonts w:cs="Arial"/>
          <w:i/>
        </w:rPr>
        <w:t xml:space="preserve">Housing land availability (from Housing Land Availability Study). </w:t>
      </w:r>
    </w:p>
    <w:p w14:paraId="17C9DC58" w14:textId="77777777" w:rsidR="00A238EE" w:rsidRDefault="00A238EE" w:rsidP="00A238EE">
      <w:pPr>
        <w:spacing w:before="60" w:after="60"/>
        <w:rPr>
          <w:rFonts w:cs="Arial"/>
        </w:rPr>
      </w:pPr>
    </w:p>
    <w:p w14:paraId="264E056A" w14:textId="6D15EE95" w:rsidR="00FE1EFE" w:rsidRPr="0035749E" w:rsidRDefault="00FE1EFE" w:rsidP="00FE1EFE">
      <w:pPr>
        <w:spacing w:line="240" w:lineRule="auto"/>
        <w:jc w:val="left"/>
        <w:rPr>
          <w:rFonts w:cs="Arial"/>
        </w:rPr>
      </w:pPr>
      <w:r w:rsidRPr="0035749E">
        <w:rPr>
          <w:rFonts w:cs="Arial"/>
        </w:rPr>
        <w:t xml:space="preserve">The Housing Land Availability study was superseded by the Housing Taskforce. At the start of 2023 there was approx. 550 ha of available residential land of which 358 ha was within SDRAs (Table 2-10 Dublin City Development Plan 2022-2028). The </w:t>
      </w:r>
      <w:r w:rsidR="00F95A22" w:rsidRPr="0035749E">
        <w:rPr>
          <w:rFonts w:cs="Arial"/>
        </w:rPr>
        <w:t>D</w:t>
      </w:r>
      <w:r w:rsidRPr="0035749E">
        <w:rPr>
          <w:rFonts w:cs="Arial"/>
        </w:rPr>
        <w:t xml:space="preserve">evelopment </w:t>
      </w:r>
      <w:r w:rsidR="00F95A22" w:rsidRPr="0035749E">
        <w:rPr>
          <w:rFonts w:cs="Arial"/>
        </w:rPr>
        <w:t>P</w:t>
      </w:r>
      <w:r w:rsidRPr="0035749E">
        <w:rPr>
          <w:rFonts w:cs="Arial"/>
        </w:rPr>
        <w:t>lan core strategy indicates that total housing capacity was 49,175 residential units (Table 2-11) and a detailed breakdown of zoned areas and expected residential yield for the various strategic lands in the city including SDRAs is provided (Table 2-8).</w:t>
      </w:r>
    </w:p>
    <w:p w14:paraId="1A328170" w14:textId="77777777" w:rsidR="00FE1EFE" w:rsidRPr="0035749E" w:rsidRDefault="00FE1EFE" w:rsidP="00FE1EFE">
      <w:pPr>
        <w:spacing w:line="240" w:lineRule="auto"/>
        <w:jc w:val="left"/>
        <w:rPr>
          <w:rFonts w:cs="Arial"/>
        </w:rPr>
      </w:pPr>
    </w:p>
    <w:p w14:paraId="1E9C5592" w14:textId="2A903606" w:rsidR="00FE1EFE" w:rsidRPr="0035749E" w:rsidRDefault="00FE1EFE" w:rsidP="00FE1EFE">
      <w:pPr>
        <w:spacing w:line="240" w:lineRule="auto"/>
        <w:jc w:val="left"/>
        <w:rPr>
          <w:rFonts w:cs="Arial"/>
        </w:rPr>
      </w:pPr>
      <w:r w:rsidRPr="0035749E">
        <w:rPr>
          <w:rFonts w:cs="Arial"/>
        </w:rPr>
        <w:t>Currently, there is no readily viable means of measuring the precise extent of lands that have been developed for hous</w:t>
      </w:r>
      <w:r w:rsidRPr="00342DB9">
        <w:rPr>
          <w:rFonts w:cs="Arial"/>
        </w:rPr>
        <w:t>ing</w:t>
      </w:r>
      <w:r w:rsidR="00F95A22" w:rsidRPr="00342DB9">
        <w:rPr>
          <w:rFonts w:cs="Arial"/>
        </w:rPr>
        <w:t xml:space="preserve"> and therefore the figures that follow are based solely on residential unit numbers</w:t>
      </w:r>
      <w:r w:rsidRPr="00342DB9">
        <w:rPr>
          <w:rFonts w:cs="Arial"/>
        </w:rPr>
        <w:t xml:space="preserve">. </w:t>
      </w:r>
    </w:p>
    <w:p w14:paraId="6E8B7823" w14:textId="77777777" w:rsidR="00FE1EFE" w:rsidRPr="0035749E" w:rsidRDefault="00FE1EFE" w:rsidP="00FE1EFE">
      <w:pPr>
        <w:spacing w:line="240" w:lineRule="auto"/>
        <w:jc w:val="left"/>
        <w:rPr>
          <w:rFonts w:cs="Arial"/>
        </w:rPr>
      </w:pPr>
    </w:p>
    <w:p w14:paraId="778CB618" w14:textId="26543B1C" w:rsidR="00FE1EFE" w:rsidRPr="0035749E" w:rsidRDefault="00FE1EFE" w:rsidP="00FE1EFE">
      <w:pPr>
        <w:spacing w:line="240" w:lineRule="auto"/>
        <w:jc w:val="left"/>
        <w:rPr>
          <w:rFonts w:cs="Arial"/>
        </w:rPr>
      </w:pPr>
      <w:r w:rsidRPr="0035749E">
        <w:rPr>
          <w:rFonts w:cs="Arial"/>
        </w:rPr>
        <w:t xml:space="preserve">The development plan core strategy total housing </w:t>
      </w:r>
      <w:r w:rsidR="0035749E" w:rsidRPr="0035749E">
        <w:rPr>
          <w:rFonts w:cs="Arial"/>
        </w:rPr>
        <w:t>capacity figure</w:t>
      </w:r>
      <w:r w:rsidR="00E759BA" w:rsidRPr="0035749E">
        <w:rPr>
          <w:rFonts w:cs="Arial"/>
        </w:rPr>
        <w:t xml:space="preserve"> </w:t>
      </w:r>
      <w:r w:rsidRPr="0035749E">
        <w:rPr>
          <w:rFonts w:cs="Arial"/>
        </w:rPr>
        <w:t xml:space="preserve">of 49,175 residential units has been reduced by two </w:t>
      </w:r>
      <w:r w:rsidR="00342DB9" w:rsidRPr="0035749E">
        <w:rPr>
          <w:rFonts w:cs="Arial"/>
        </w:rPr>
        <w:t>factors.</w:t>
      </w:r>
    </w:p>
    <w:p w14:paraId="6C32BFC3" w14:textId="7BAAC0E5" w:rsidR="00FE1EFE" w:rsidRPr="0035749E" w:rsidRDefault="00FE1EFE" w:rsidP="00FE1EFE">
      <w:pPr>
        <w:spacing w:line="240" w:lineRule="auto"/>
        <w:rPr>
          <w:rFonts w:cs="Arial"/>
        </w:rPr>
      </w:pPr>
      <w:r w:rsidRPr="0035749E">
        <w:rPr>
          <w:rFonts w:cs="Arial"/>
        </w:rPr>
        <w:t>(a)</w:t>
      </w:r>
      <w:r w:rsidR="00F9482F">
        <w:rPr>
          <w:rFonts w:cs="Arial"/>
        </w:rPr>
        <w:t xml:space="preserve">  </w:t>
      </w:r>
      <w:r w:rsidRPr="0035749E">
        <w:rPr>
          <w:rFonts w:cs="Arial"/>
        </w:rPr>
        <w:t xml:space="preserve">by the number of units built during the period 2023-2024, </w:t>
      </w:r>
      <w:r w:rsidR="0035749E" w:rsidRPr="0035749E">
        <w:rPr>
          <w:rFonts w:cs="Arial"/>
        </w:rPr>
        <w:t>and</w:t>
      </w:r>
    </w:p>
    <w:p w14:paraId="71F37E38" w14:textId="3ACAA0D4" w:rsidR="00FE1EFE" w:rsidRPr="0035749E" w:rsidRDefault="00FE1EFE" w:rsidP="00FE1EFE">
      <w:pPr>
        <w:spacing w:line="240" w:lineRule="auto"/>
        <w:rPr>
          <w:rFonts w:cs="Arial"/>
        </w:rPr>
      </w:pPr>
      <w:r w:rsidRPr="0035749E">
        <w:rPr>
          <w:rFonts w:cs="Arial"/>
        </w:rPr>
        <w:t>(b)</w:t>
      </w:r>
      <w:r w:rsidR="00F9482F">
        <w:rPr>
          <w:rFonts w:cs="Arial"/>
        </w:rPr>
        <w:t xml:space="preserve">  </w:t>
      </w:r>
      <w:r w:rsidRPr="0035749E">
        <w:rPr>
          <w:rFonts w:cs="Arial"/>
        </w:rPr>
        <w:t>by the number of units commenced as of Q4 2024.</w:t>
      </w:r>
    </w:p>
    <w:p w14:paraId="253E1737" w14:textId="77777777" w:rsidR="00FE1EFE" w:rsidRPr="0035749E" w:rsidRDefault="00FE1EFE" w:rsidP="00FE1EFE">
      <w:pPr>
        <w:spacing w:line="240" w:lineRule="auto"/>
        <w:rPr>
          <w:rFonts w:cs="Arial"/>
          <w:strike/>
        </w:rPr>
      </w:pPr>
    </w:p>
    <w:p w14:paraId="5A0D6FF9" w14:textId="5D337475" w:rsidR="00FE1EFE" w:rsidRPr="0035749E" w:rsidRDefault="00FE1EFE" w:rsidP="00FE1EFE">
      <w:pPr>
        <w:spacing w:line="240" w:lineRule="auto"/>
        <w:rPr>
          <w:rFonts w:cs="Arial"/>
        </w:rPr>
      </w:pPr>
      <w:r w:rsidRPr="0035749E">
        <w:rPr>
          <w:rFonts w:cs="Arial"/>
        </w:rPr>
        <w:t>In relation to (a) above, a total of 6</w:t>
      </w:r>
      <w:r w:rsidR="00686738">
        <w:rPr>
          <w:rFonts w:cs="Arial"/>
        </w:rPr>
        <w:t>,</w:t>
      </w:r>
      <w:r w:rsidRPr="0035749E">
        <w:rPr>
          <w:rFonts w:cs="Arial"/>
        </w:rPr>
        <w:t xml:space="preserve">788 units </w:t>
      </w:r>
      <w:r w:rsidR="00686738">
        <w:rPr>
          <w:rFonts w:cs="Arial"/>
        </w:rPr>
        <w:t>were</w:t>
      </w:r>
      <w:r w:rsidRPr="0035749E">
        <w:rPr>
          <w:rFonts w:cs="Arial"/>
        </w:rPr>
        <w:t xml:space="preserve"> completed during this period, i.e. 3,433 and 3,355 units for 2023 and 2024 respectively.  </w:t>
      </w:r>
    </w:p>
    <w:p w14:paraId="508D78E0" w14:textId="77777777" w:rsidR="00FE1EFE" w:rsidRPr="0035749E" w:rsidRDefault="00FE1EFE" w:rsidP="00FE1EFE">
      <w:pPr>
        <w:spacing w:line="240" w:lineRule="auto"/>
        <w:rPr>
          <w:rFonts w:cs="Arial"/>
        </w:rPr>
      </w:pPr>
    </w:p>
    <w:p w14:paraId="5E6305E9" w14:textId="4831EB89" w:rsidR="00FE1EFE" w:rsidRPr="0035749E" w:rsidRDefault="00FE1EFE" w:rsidP="00FE1EFE">
      <w:pPr>
        <w:spacing w:line="240" w:lineRule="auto"/>
        <w:rPr>
          <w:rFonts w:cs="Arial"/>
        </w:rPr>
      </w:pPr>
      <w:r w:rsidRPr="0035749E">
        <w:rPr>
          <w:rFonts w:cs="Arial"/>
        </w:rPr>
        <w:t>In relation to (b) above</w:t>
      </w:r>
      <w:r w:rsidR="00745111">
        <w:rPr>
          <w:rFonts w:cs="Arial"/>
        </w:rPr>
        <w:t>,</w:t>
      </w:r>
      <w:r w:rsidRPr="0035749E">
        <w:rPr>
          <w:rFonts w:cs="Arial"/>
        </w:rPr>
        <w:t xml:space="preserve"> </w:t>
      </w:r>
      <w:r w:rsidR="00E759BA" w:rsidRPr="0035749E">
        <w:rPr>
          <w:rFonts w:cs="Arial"/>
        </w:rPr>
        <w:t>a</w:t>
      </w:r>
      <w:r w:rsidRPr="0035749E">
        <w:rPr>
          <w:rFonts w:cs="Arial"/>
        </w:rPr>
        <w:t>s of Q4 2024, there were 8,428 units under construction. (Source; 4Dublin Housing Supply Pipeline, Quarter Q4 2024 returns).</w:t>
      </w:r>
    </w:p>
    <w:p w14:paraId="17E6A200" w14:textId="77777777" w:rsidR="00FE1EFE" w:rsidRPr="0035749E" w:rsidRDefault="00FE1EFE" w:rsidP="00FE1EFE">
      <w:pPr>
        <w:spacing w:line="240" w:lineRule="auto"/>
        <w:rPr>
          <w:rFonts w:cs="Arial"/>
        </w:rPr>
      </w:pPr>
    </w:p>
    <w:p w14:paraId="6852BD1E" w14:textId="77777777" w:rsidR="00EA7CA3" w:rsidRPr="0035749E" w:rsidRDefault="00EA7CA3" w:rsidP="00FE1EFE">
      <w:pPr>
        <w:spacing w:line="240" w:lineRule="auto"/>
        <w:rPr>
          <w:rFonts w:cs="Arial"/>
        </w:rPr>
      </w:pPr>
    </w:p>
    <w:p w14:paraId="05E19220" w14:textId="77777777" w:rsidR="00FE1EFE" w:rsidRPr="0035749E" w:rsidRDefault="00FE1EFE" w:rsidP="00FE1EFE">
      <w:pPr>
        <w:spacing w:line="240" w:lineRule="auto"/>
        <w:rPr>
          <w:rFonts w:cs="Arial"/>
        </w:rPr>
      </w:pPr>
    </w:p>
    <w:p w14:paraId="39AF8AFA" w14:textId="77777777" w:rsidR="00FE1EFE" w:rsidRPr="0035749E" w:rsidRDefault="00FE1EFE" w:rsidP="00FE1EFE">
      <w:pPr>
        <w:spacing w:line="240" w:lineRule="auto"/>
        <w:rPr>
          <w:rFonts w:cs="Arial"/>
          <w:b/>
          <w:bCs/>
        </w:rPr>
      </w:pPr>
      <w:r w:rsidRPr="0035749E">
        <w:rPr>
          <w:rFonts w:cs="Arial"/>
          <w:b/>
          <w:bCs/>
        </w:rPr>
        <w:t>Table 3; Reduced residential capacity calculation (no. units)</w:t>
      </w:r>
    </w:p>
    <w:p w14:paraId="1E7358E3" w14:textId="77777777" w:rsidR="00FE1EFE" w:rsidRPr="0035749E" w:rsidRDefault="00FE1EFE" w:rsidP="00FE1EFE">
      <w:pPr>
        <w:spacing w:line="240" w:lineRule="auto"/>
        <w:rPr>
          <w:rFonts w:cs="Arial"/>
        </w:rPr>
      </w:pPr>
    </w:p>
    <w:tbl>
      <w:tblPr>
        <w:tblStyle w:val="TableGrid"/>
        <w:tblW w:w="0" w:type="auto"/>
        <w:tblInd w:w="137" w:type="dxa"/>
        <w:tblLook w:val="04A0" w:firstRow="1" w:lastRow="0" w:firstColumn="1" w:lastColumn="0" w:noHBand="0" w:noVBand="1"/>
      </w:tblPr>
      <w:tblGrid>
        <w:gridCol w:w="4394"/>
        <w:gridCol w:w="1985"/>
      </w:tblGrid>
      <w:tr w:rsidR="00FE1EFE" w:rsidRPr="0035749E" w14:paraId="1EC1BB27" w14:textId="77777777" w:rsidTr="00893AAB">
        <w:tc>
          <w:tcPr>
            <w:tcW w:w="4394" w:type="dxa"/>
          </w:tcPr>
          <w:p w14:paraId="4A25BB8E" w14:textId="77777777" w:rsidR="00FE1EFE" w:rsidRPr="0035749E" w:rsidRDefault="00FE1EFE" w:rsidP="00893AAB">
            <w:pPr>
              <w:jc w:val="left"/>
              <w:rPr>
                <w:rFonts w:cs="Arial"/>
                <w:b/>
                <w:bCs/>
              </w:rPr>
            </w:pPr>
            <w:r w:rsidRPr="0035749E">
              <w:rPr>
                <w:rFonts w:cs="Arial"/>
                <w:b/>
                <w:bCs/>
              </w:rPr>
              <w:t xml:space="preserve">       Capacity reducing Factor</w:t>
            </w:r>
          </w:p>
        </w:tc>
        <w:tc>
          <w:tcPr>
            <w:tcW w:w="1985" w:type="dxa"/>
          </w:tcPr>
          <w:p w14:paraId="24990E2E" w14:textId="77777777" w:rsidR="00FE1EFE" w:rsidRPr="0035749E" w:rsidRDefault="00FE1EFE" w:rsidP="00893AAB">
            <w:pPr>
              <w:jc w:val="right"/>
              <w:rPr>
                <w:rFonts w:cs="Arial"/>
                <w:b/>
                <w:bCs/>
              </w:rPr>
            </w:pPr>
            <w:r w:rsidRPr="0035749E">
              <w:rPr>
                <w:rFonts w:cs="Arial"/>
                <w:b/>
                <w:bCs/>
              </w:rPr>
              <w:t>No. of units</w:t>
            </w:r>
          </w:p>
        </w:tc>
      </w:tr>
      <w:tr w:rsidR="00FE1EFE" w:rsidRPr="0035749E" w14:paraId="4C2D559E" w14:textId="77777777" w:rsidTr="00893AAB">
        <w:tc>
          <w:tcPr>
            <w:tcW w:w="4394" w:type="dxa"/>
          </w:tcPr>
          <w:p w14:paraId="093582BD" w14:textId="77777777" w:rsidR="00FE1EFE" w:rsidRPr="0035749E" w:rsidRDefault="00FE1EFE" w:rsidP="00FE1EFE">
            <w:pPr>
              <w:pStyle w:val="ListParagraph"/>
              <w:numPr>
                <w:ilvl w:val="0"/>
                <w:numId w:val="26"/>
              </w:numPr>
              <w:jc w:val="left"/>
              <w:rPr>
                <w:rFonts w:cs="Arial"/>
              </w:rPr>
            </w:pPr>
            <w:r w:rsidRPr="0035749E">
              <w:rPr>
                <w:rFonts w:cs="Arial"/>
              </w:rPr>
              <w:t>Units completed during 2023/2024</w:t>
            </w:r>
          </w:p>
        </w:tc>
        <w:tc>
          <w:tcPr>
            <w:tcW w:w="1985" w:type="dxa"/>
          </w:tcPr>
          <w:p w14:paraId="64E54FA5" w14:textId="187815EA" w:rsidR="00FE1EFE" w:rsidRPr="0035749E" w:rsidRDefault="00FE1EFE" w:rsidP="00893AAB">
            <w:pPr>
              <w:jc w:val="right"/>
              <w:rPr>
                <w:rFonts w:cs="Arial"/>
              </w:rPr>
            </w:pPr>
            <w:r w:rsidRPr="0035749E">
              <w:rPr>
                <w:rFonts w:cs="Arial"/>
              </w:rPr>
              <w:t>6</w:t>
            </w:r>
            <w:r w:rsidR="00097F7F">
              <w:rPr>
                <w:rFonts w:cs="Arial"/>
              </w:rPr>
              <w:t>,</w:t>
            </w:r>
            <w:r w:rsidRPr="0035749E">
              <w:rPr>
                <w:rFonts w:cs="Arial"/>
              </w:rPr>
              <w:t>788</w:t>
            </w:r>
          </w:p>
        </w:tc>
      </w:tr>
      <w:tr w:rsidR="00FE1EFE" w:rsidRPr="0035749E" w14:paraId="7639E5A7" w14:textId="77777777" w:rsidTr="00893AAB">
        <w:tc>
          <w:tcPr>
            <w:tcW w:w="4394" w:type="dxa"/>
          </w:tcPr>
          <w:p w14:paraId="023A5EBA" w14:textId="77777777" w:rsidR="00FE1EFE" w:rsidRPr="0035749E" w:rsidRDefault="00FE1EFE" w:rsidP="00FE1EFE">
            <w:pPr>
              <w:pStyle w:val="ListParagraph"/>
              <w:numPr>
                <w:ilvl w:val="0"/>
                <w:numId w:val="26"/>
              </w:numPr>
              <w:jc w:val="left"/>
              <w:rPr>
                <w:rFonts w:cs="Arial"/>
              </w:rPr>
            </w:pPr>
            <w:r w:rsidRPr="0035749E">
              <w:rPr>
                <w:rFonts w:cs="Arial"/>
              </w:rPr>
              <w:t>Units under construction as of Q4 2024</w:t>
            </w:r>
          </w:p>
        </w:tc>
        <w:tc>
          <w:tcPr>
            <w:tcW w:w="1985" w:type="dxa"/>
          </w:tcPr>
          <w:p w14:paraId="1450AE42" w14:textId="51ED77B1" w:rsidR="00FE1EFE" w:rsidRPr="0035749E" w:rsidRDefault="00FE1EFE" w:rsidP="00893AAB">
            <w:pPr>
              <w:jc w:val="right"/>
              <w:rPr>
                <w:rFonts w:cs="Arial"/>
              </w:rPr>
            </w:pPr>
            <w:r w:rsidRPr="0035749E">
              <w:rPr>
                <w:rFonts w:cs="Arial"/>
              </w:rPr>
              <w:t>8</w:t>
            </w:r>
            <w:r w:rsidR="00097F7F">
              <w:rPr>
                <w:rFonts w:cs="Arial"/>
              </w:rPr>
              <w:t>,</w:t>
            </w:r>
            <w:r w:rsidRPr="0035749E">
              <w:rPr>
                <w:rFonts w:cs="Arial"/>
              </w:rPr>
              <w:t>428</w:t>
            </w:r>
          </w:p>
        </w:tc>
      </w:tr>
      <w:tr w:rsidR="00FE1EFE" w:rsidRPr="0035749E" w14:paraId="7C270CCA" w14:textId="77777777" w:rsidTr="00893AAB">
        <w:tc>
          <w:tcPr>
            <w:tcW w:w="4394" w:type="dxa"/>
          </w:tcPr>
          <w:p w14:paraId="262C3A0C" w14:textId="77777777" w:rsidR="00FE1EFE" w:rsidRPr="0035749E" w:rsidRDefault="00FE1EFE" w:rsidP="00893AAB">
            <w:pPr>
              <w:jc w:val="right"/>
              <w:rPr>
                <w:rFonts w:cs="Arial"/>
              </w:rPr>
            </w:pPr>
            <w:r w:rsidRPr="0035749E">
              <w:rPr>
                <w:rFonts w:cs="Arial"/>
              </w:rPr>
              <w:t xml:space="preserve">Total reduced capacity  </w:t>
            </w:r>
          </w:p>
        </w:tc>
        <w:tc>
          <w:tcPr>
            <w:tcW w:w="1985" w:type="dxa"/>
          </w:tcPr>
          <w:p w14:paraId="09BB93F0" w14:textId="77777777" w:rsidR="00FE1EFE" w:rsidRPr="0035749E" w:rsidRDefault="00FE1EFE" w:rsidP="00893AAB">
            <w:pPr>
              <w:jc w:val="right"/>
              <w:rPr>
                <w:rFonts w:cs="Arial"/>
              </w:rPr>
            </w:pPr>
            <w:r w:rsidRPr="0035749E">
              <w:rPr>
                <w:rFonts w:cs="Arial"/>
              </w:rPr>
              <w:t>15,216</w:t>
            </w:r>
          </w:p>
        </w:tc>
      </w:tr>
    </w:tbl>
    <w:p w14:paraId="0122A0D7" w14:textId="77777777" w:rsidR="00FE1EFE" w:rsidRPr="0035749E" w:rsidRDefault="00FE1EFE" w:rsidP="00FE1EFE">
      <w:pPr>
        <w:spacing w:line="240" w:lineRule="auto"/>
        <w:rPr>
          <w:rFonts w:cs="Arial"/>
        </w:rPr>
      </w:pPr>
    </w:p>
    <w:p w14:paraId="28810A89" w14:textId="77777777" w:rsidR="00FE1EFE" w:rsidRPr="0035749E" w:rsidRDefault="00FE1EFE" w:rsidP="00FE1EFE">
      <w:pPr>
        <w:spacing w:line="240" w:lineRule="auto"/>
        <w:rPr>
          <w:rFonts w:cs="Arial"/>
        </w:rPr>
      </w:pPr>
    </w:p>
    <w:p w14:paraId="095132F0" w14:textId="05D156EE" w:rsidR="00F95A22" w:rsidRPr="0035749E" w:rsidRDefault="00F95A22" w:rsidP="00FE1EFE">
      <w:pPr>
        <w:spacing w:line="240" w:lineRule="auto"/>
        <w:rPr>
          <w:rFonts w:cs="Arial"/>
        </w:rPr>
      </w:pPr>
      <w:r w:rsidRPr="0035749E">
        <w:rPr>
          <w:rFonts w:cs="Arial"/>
        </w:rPr>
        <w:t>Summing</w:t>
      </w:r>
      <w:r w:rsidR="00FE1EFE" w:rsidRPr="0035749E">
        <w:rPr>
          <w:rFonts w:cs="Arial"/>
        </w:rPr>
        <w:t xml:space="preserve"> the units completed and the units under construction above gives a figure of 15,216 units which reduces the City’s overall available capacity</w:t>
      </w:r>
      <w:r w:rsidR="002F2F37">
        <w:rPr>
          <w:rFonts w:cs="Arial"/>
        </w:rPr>
        <w:t xml:space="preserve"> from </w:t>
      </w:r>
      <w:r w:rsidR="00FE1EFE" w:rsidRPr="0035749E">
        <w:rPr>
          <w:rFonts w:cs="Arial"/>
        </w:rPr>
        <w:t>49,175</w:t>
      </w:r>
      <w:r w:rsidR="002F2F37">
        <w:rPr>
          <w:rFonts w:cs="Arial"/>
        </w:rPr>
        <w:t xml:space="preserve"> units</w:t>
      </w:r>
      <w:r w:rsidR="00FE1EFE" w:rsidRPr="0035749E">
        <w:rPr>
          <w:rFonts w:cs="Arial"/>
        </w:rPr>
        <w:t xml:space="preserve"> to 33,959 units</w:t>
      </w:r>
      <w:r w:rsidR="00623DAB">
        <w:rPr>
          <w:rFonts w:cs="Arial"/>
        </w:rPr>
        <w:t xml:space="preserve">. See </w:t>
      </w:r>
      <w:r w:rsidR="00757F5D" w:rsidRPr="0035749E">
        <w:rPr>
          <w:rFonts w:cs="Arial"/>
        </w:rPr>
        <w:t>Table 4</w:t>
      </w:r>
      <w:r w:rsidR="00263997" w:rsidRPr="0035749E">
        <w:rPr>
          <w:rFonts w:cs="Arial"/>
        </w:rPr>
        <w:t xml:space="preserve"> below</w:t>
      </w:r>
      <w:r w:rsidR="00FE1EFE" w:rsidRPr="0035749E">
        <w:rPr>
          <w:rFonts w:cs="Arial"/>
        </w:rPr>
        <w:t xml:space="preserve">.  </w:t>
      </w:r>
    </w:p>
    <w:p w14:paraId="78928508" w14:textId="77777777" w:rsidR="00342DB9" w:rsidRDefault="00342DB9" w:rsidP="00FE1EFE">
      <w:pPr>
        <w:spacing w:line="240" w:lineRule="auto"/>
        <w:rPr>
          <w:rFonts w:cs="Arial"/>
        </w:rPr>
      </w:pPr>
    </w:p>
    <w:p w14:paraId="1AC2520C" w14:textId="77777777" w:rsidR="00342DB9" w:rsidRDefault="00342DB9" w:rsidP="00FE1EFE">
      <w:pPr>
        <w:spacing w:line="240" w:lineRule="auto"/>
        <w:rPr>
          <w:rFonts w:cs="Arial"/>
        </w:rPr>
      </w:pPr>
    </w:p>
    <w:p w14:paraId="3CA6D114" w14:textId="77777777" w:rsidR="00342DB9" w:rsidRDefault="00342DB9" w:rsidP="00FE1EFE">
      <w:pPr>
        <w:spacing w:line="240" w:lineRule="auto"/>
        <w:rPr>
          <w:rFonts w:cs="Arial"/>
        </w:rPr>
      </w:pPr>
    </w:p>
    <w:p w14:paraId="0160DF33" w14:textId="77777777" w:rsidR="00342DB9" w:rsidRDefault="00342DB9" w:rsidP="00FE1EFE">
      <w:pPr>
        <w:spacing w:line="240" w:lineRule="auto"/>
        <w:rPr>
          <w:rFonts w:cs="Arial"/>
        </w:rPr>
      </w:pPr>
    </w:p>
    <w:p w14:paraId="6FF3F564" w14:textId="77777777" w:rsidR="00342DB9" w:rsidRDefault="00342DB9" w:rsidP="00FE1EFE">
      <w:pPr>
        <w:spacing w:line="240" w:lineRule="auto"/>
        <w:rPr>
          <w:rFonts w:cs="Arial"/>
        </w:rPr>
      </w:pPr>
    </w:p>
    <w:p w14:paraId="649C9024" w14:textId="77777777" w:rsidR="00342DB9" w:rsidRDefault="00342DB9" w:rsidP="00FE1EFE">
      <w:pPr>
        <w:spacing w:line="240" w:lineRule="auto"/>
        <w:rPr>
          <w:rFonts w:cs="Arial"/>
        </w:rPr>
      </w:pPr>
    </w:p>
    <w:p w14:paraId="2D4CC782" w14:textId="77777777" w:rsidR="00342DB9" w:rsidRDefault="00342DB9" w:rsidP="00FE1EFE">
      <w:pPr>
        <w:spacing w:line="240" w:lineRule="auto"/>
        <w:rPr>
          <w:rFonts w:cs="Arial"/>
        </w:rPr>
      </w:pPr>
    </w:p>
    <w:p w14:paraId="7863A317" w14:textId="77777777" w:rsidR="00342DB9" w:rsidRDefault="00342DB9" w:rsidP="00FE1EFE">
      <w:pPr>
        <w:spacing w:line="240" w:lineRule="auto"/>
        <w:rPr>
          <w:rFonts w:cs="Arial"/>
        </w:rPr>
      </w:pPr>
    </w:p>
    <w:p w14:paraId="1332295B" w14:textId="77777777" w:rsidR="00342DB9" w:rsidRDefault="00342DB9" w:rsidP="00FE1EFE">
      <w:pPr>
        <w:spacing w:line="240" w:lineRule="auto"/>
        <w:rPr>
          <w:rFonts w:cs="Arial"/>
        </w:rPr>
      </w:pPr>
    </w:p>
    <w:p w14:paraId="4A3E0820" w14:textId="77777777" w:rsidR="00745111" w:rsidRDefault="00745111" w:rsidP="00FE1EFE">
      <w:pPr>
        <w:spacing w:line="240" w:lineRule="auto"/>
        <w:rPr>
          <w:rFonts w:cs="Arial"/>
        </w:rPr>
      </w:pPr>
    </w:p>
    <w:p w14:paraId="0E5465FD" w14:textId="77777777" w:rsidR="00342DB9" w:rsidRPr="0035749E" w:rsidRDefault="00342DB9" w:rsidP="00FE1EFE">
      <w:pPr>
        <w:spacing w:line="240" w:lineRule="auto"/>
        <w:rPr>
          <w:rFonts w:cs="Arial"/>
        </w:rPr>
      </w:pPr>
    </w:p>
    <w:p w14:paraId="015B2211" w14:textId="77777777" w:rsidR="00EA7CA3" w:rsidRDefault="00EA7CA3" w:rsidP="00FE1EFE">
      <w:pPr>
        <w:spacing w:line="240" w:lineRule="auto"/>
        <w:rPr>
          <w:rFonts w:cs="Arial"/>
        </w:rPr>
      </w:pPr>
    </w:p>
    <w:p w14:paraId="326299F9" w14:textId="77777777" w:rsidR="00686738" w:rsidRPr="0035749E" w:rsidRDefault="00686738" w:rsidP="00FE1EFE">
      <w:pPr>
        <w:spacing w:line="240" w:lineRule="auto"/>
        <w:rPr>
          <w:rFonts w:cs="Arial"/>
        </w:rPr>
      </w:pPr>
    </w:p>
    <w:p w14:paraId="14E8BD47" w14:textId="44B7F3C3" w:rsidR="00FE1EFE" w:rsidRPr="0035749E" w:rsidRDefault="00FE1EFE" w:rsidP="00FE1EFE">
      <w:pPr>
        <w:spacing w:line="240" w:lineRule="auto"/>
        <w:rPr>
          <w:rFonts w:cs="Arial"/>
          <w:b/>
          <w:bCs/>
        </w:rPr>
      </w:pPr>
      <w:r w:rsidRPr="0035749E">
        <w:rPr>
          <w:rFonts w:cs="Arial"/>
          <w:b/>
          <w:bCs/>
        </w:rPr>
        <w:lastRenderedPageBreak/>
        <w:t xml:space="preserve">Table </w:t>
      </w:r>
      <w:r w:rsidR="00DC4656" w:rsidRPr="0035749E">
        <w:rPr>
          <w:rFonts w:cs="Arial"/>
          <w:b/>
          <w:bCs/>
        </w:rPr>
        <w:t>4</w:t>
      </w:r>
      <w:r w:rsidRPr="0035749E">
        <w:rPr>
          <w:rFonts w:cs="Arial"/>
          <w:b/>
          <w:bCs/>
        </w:rPr>
        <w:t>; Remaining</w:t>
      </w:r>
      <w:r w:rsidR="009371B5" w:rsidRPr="0035749E">
        <w:rPr>
          <w:rFonts w:cs="Arial"/>
          <w:b/>
          <w:bCs/>
        </w:rPr>
        <w:t xml:space="preserve"> </w:t>
      </w:r>
      <w:r w:rsidR="009371B5" w:rsidRPr="00342DB9">
        <w:rPr>
          <w:rFonts w:cs="Arial"/>
          <w:b/>
          <w:bCs/>
        </w:rPr>
        <w:t>Residential</w:t>
      </w:r>
      <w:r w:rsidRPr="00342DB9">
        <w:rPr>
          <w:rFonts w:cs="Arial"/>
          <w:b/>
          <w:bCs/>
        </w:rPr>
        <w:t xml:space="preserve"> </w:t>
      </w:r>
      <w:r w:rsidRPr="0035749E">
        <w:rPr>
          <w:rFonts w:cs="Arial"/>
          <w:b/>
          <w:bCs/>
        </w:rPr>
        <w:t>Capacity</w:t>
      </w:r>
      <w:r w:rsidR="00342DB9" w:rsidRPr="00342DB9">
        <w:rPr>
          <w:rFonts w:cs="Arial"/>
          <w:b/>
          <w:bCs/>
        </w:rPr>
        <w:t>.</w:t>
      </w:r>
    </w:p>
    <w:p w14:paraId="3FB20716" w14:textId="77777777" w:rsidR="00FE1EFE" w:rsidRPr="0035749E" w:rsidRDefault="00FE1EFE" w:rsidP="00FE1EFE">
      <w:pPr>
        <w:spacing w:line="240" w:lineRule="auto"/>
        <w:rPr>
          <w:rFonts w:cs="Arial"/>
        </w:rPr>
      </w:pPr>
    </w:p>
    <w:tbl>
      <w:tblPr>
        <w:tblStyle w:val="TableGrid"/>
        <w:tblW w:w="4961" w:type="dxa"/>
        <w:tblInd w:w="137" w:type="dxa"/>
        <w:tblLook w:val="04A0" w:firstRow="1" w:lastRow="0" w:firstColumn="1" w:lastColumn="0" w:noHBand="0" w:noVBand="1"/>
      </w:tblPr>
      <w:tblGrid>
        <w:gridCol w:w="2490"/>
        <w:gridCol w:w="2471"/>
      </w:tblGrid>
      <w:tr w:rsidR="00342DB9" w:rsidRPr="0035749E" w14:paraId="3D0ED89C" w14:textId="77777777" w:rsidTr="00342DB9">
        <w:trPr>
          <w:trHeight w:val="561"/>
        </w:trPr>
        <w:tc>
          <w:tcPr>
            <w:tcW w:w="2490" w:type="dxa"/>
          </w:tcPr>
          <w:p w14:paraId="2BC6BCF9" w14:textId="77777777" w:rsidR="00342DB9" w:rsidRPr="0035749E" w:rsidRDefault="00342DB9" w:rsidP="00893AAB">
            <w:pPr>
              <w:jc w:val="left"/>
              <w:rPr>
                <w:rFonts w:cs="Arial"/>
                <w:b/>
                <w:bCs/>
              </w:rPr>
            </w:pPr>
          </w:p>
        </w:tc>
        <w:tc>
          <w:tcPr>
            <w:tcW w:w="2471" w:type="dxa"/>
          </w:tcPr>
          <w:p w14:paraId="024C581B" w14:textId="1BCBA9C5" w:rsidR="00342DB9" w:rsidRPr="0035749E" w:rsidRDefault="00342DB9" w:rsidP="00893AAB">
            <w:pPr>
              <w:jc w:val="right"/>
              <w:rPr>
                <w:rFonts w:cs="Arial"/>
                <w:b/>
                <w:bCs/>
              </w:rPr>
            </w:pPr>
            <w:r w:rsidRPr="0035749E">
              <w:rPr>
                <w:rFonts w:cs="Arial"/>
                <w:b/>
                <w:bCs/>
              </w:rPr>
              <w:t>No. Residential Units</w:t>
            </w:r>
          </w:p>
        </w:tc>
      </w:tr>
      <w:tr w:rsidR="00342DB9" w:rsidRPr="0035749E" w14:paraId="3DC0E58B" w14:textId="77777777" w:rsidTr="00342DB9">
        <w:tc>
          <w:tcPr>
            <w:tcW w:w="2490" w:type="dxa"/>
          </w:tcPr>
          <w:p w14:paraId="7D98C05F" w14:textId="77777777" w:rsidR="00342DB9" w:rsidRPr="0035749E" w:rsidRDefault="00342DB9" w:rsidP="00893AAB">
            <w:pPr>
              <w:jc w:val="left"/>
              <w:rPr>
                <w:rFonts w:cs="Arial"/>
              </w:rPr>
            </w:pPr>
            <w:r w:rsidRPr="0035749E">
              <w:rPr>
                <w:rFonts w:cs="Arial"/>
              </w:rPr>
              <w:t>Total capacity (core strategy)</w:t>
            </w:r>
          </w:p>
        </w:tc>
        <w:tc>
          <w:tcPr>
            <w:tcW w:w="2471" w:type="dxa"/>
          </w:tcPr>
          <w:p w14:paraId="6818E556" w14:textId="77777777" w:rsidR="00342DB9" w:rsidRPr="0035749E" w:rsidRDefault="00342DB9" w:rsidP="00893AAB">
            <w:pPr>
              <w:jc w:val="center"/>
              <w:rPr>
                <w:rFonts w:cs="Arial"/>
              </w:rPr>
            </w:pPr>
            <w:r w:rsidRPr="0035749E">
              <w:rPr>
                <w:rFonts w:cs="Arial"/>
              </w:rPr>
              <w:t>49,175</w:t>
            </w:r>
          </w:p>
        </w:tc>
      </w:tr>
      <w:tr w:rsidR="00342DB9" w:rsidRPr="0035749E" w14:paraId="09C778D6" w14:textId="77777777" w:rsidTr="00342DB9">
        <w:tc>
          <w:tcPr>
            <w:tcW w:w="2490" w:type="dxa"/>
          </w:tcPr>
          <w:p w14:paraId="2C32CDCE" w14:textId="77777777" w:rsidR="00342DB9" w:rsidRPr="0035749E" w:rsidRDefault="00342DB9" w:rsidP="00893AAB">
            <w:pPr>
              <w:jc w:val="left"/>
              <w:rPr>
                <w:rFonts w:cs="Arial"/>
              </w:rPr>
            </w:pPr>
            <w:r w:rsidRPr="0035749E">
              <w:rPr>
                <w:rFonts w:cs="Arial"/>
              </w:rPr>
              <w:t>Reduced residential capacity (Table 3)</w:t>
            </w:r>
          </w:p>
        </w:tc>
        <w:tc>
          <w:tcPr>
            <w:tcW w:w="2471" w:type="dxa"/>
          </w:tcPr>
          <w:p w14:paraId="340E162D" w14:textId="77777777" w:rsidR="00342DB9" w:rsidRPr="0035749E" w:rsidRDefault="00342DB9" w:rsidP="00893AAB">
            <w:pPr>
              <w:jc w:val="center"/>
              <w:rPr>
                <w:rFonts w:cs="Arial"/>
              </w:rPr>
            </w:pPr>
            <w:r w:rsidRPr="0035749E">
              <w:rPr>
                <w:rFonts w:cs="Arial"/>
              </w:rPr>
              <w:t>15,216</w:t>
            </w:r>
          </w:p>
        </w:tc>
      </w:tr>
      <w:tr w:rsidR="00342DB9" w:rsidRPr="0035749E" w14:paraId="01B3F975" w14:textId="77777777" w:rsidTr="00342DB9">
        <w:tc>
          <w:tcPr>
            <w:tcW w:w="2490" w:type="dxa"/>
          </w:tcPr>
          <w:p w14:paraId="44736190" w14:textId="77777777" w:rsidR="00342DB9" w:rsidRPr="0035749E" w:rsidRDefault="00342DB9" w:rsidP="00893AAB">
            <w:pPr>
              <w:jc w:val="left"/>
              <w:rPr>
                <w:rFonts w:cs="Arial"/>
              </w:rPr>
            </w:pPr>
            <w:r w:rsidRPr="0035749E">
              <w:rPr>
                <w:rFonts w:cs="Arial"/>
              </w:rPr>
              <w:t xml:space="preserve">Remaining residential capacity  </w:t>
            </w:r>
          </w:p>
        </w:tc>
        <w:tc>
          <w:tcPr>
            <w:tcW w:w="2471" w:type="dxa"/>
          </w:tcPr>
          <w:p w14:paraId="1972B784" w14:textId="77777777" w:rsidR="00342DB9" w:rsidRPr="0035749E" w:rsidRDefault="00342DB9" w:rsidP="00893AAB">
            <w:pPr>
              <w:jc w:val="center"/>
              <w:rPr>
                <w:rFonts w:cs="Arial"/>
              </w:rPr>
            </w:pPr>
            <w:r w:rsidRPr="0035749E">
              <w:rPr>
                <w:rFonts w:cs="Arial"/>
              </w:rPr>
              <w:t>33,959</w:t>
            </w:r>
          </w:p>
        </w:tc>
      </w:tr>
    </w:tbl>
    <w:p w14:paraId="7075BCD1" w14:textId="77777777" w:rsidR="00FE1EFE" w:rsidRPr="0035749E" w:rsidRDefault="00FE1EFE" w:rsidP="00FE1EFE">
      <w:pPr>
        <w:spacing w:line="240" w:lineRule="auto"/>
        <w:rPr>
          <w:rFonts w:cs="Arial"/>
        </w:rPr>
      </w:pPr>
    </w:p>
    <w:p w14:paraId="4E1013A4" w14:textId="77777777" w:rsidR="00B13B4A" w:rsidRPr="0035749E" w:rsidRDefault="00B13B4A" w:rsidP="003840C7">
      <w:pPr>
        <w:spacing w:line="240" w:lineRule="auto"/>
        <w:rPr>
          <w:rFonts w:cs="Arial"/>
          <w:color w:val="538135" w:themeColor="accent6" w:themeShade="BF"/>
        </w:rPr>
      </w:pPr>
    </w:p>
    <w:p w14:paraId="59C05369" w14:textId="508D4FB5" w:rsidR="00263997" w:rsidRPr="0035749E" w:rsidRDefault="00263997" w:rsidP="00263997">
      <w:pPr>
        <w:spacing w:line="240" w:lineRule="auto"/>
        <w:rPr>
          <w:rFonts w:cs="Arial"/>
        </w:rPr>
      </w:pPr>
      <w:r w:rsidRPr="0035749E">
        <w:rPr>
          <w:rFonts w:cs="Arial"/>
        </w:rPr>
        <w:t>It is noted that there are also extant planning permissions which potentially could reduce remaining residential capacity.</w:t>
      </w:r>
      <w:r w:rsidR="00E759BA" w:rsidRPr="0035749E">
        <w:rPr>
          <w:rFonts w:cs="Arial"/>
        </w:rPr>
        <w:t xml:space="preserve"> </w:t>
      </w:r>
      <w:r w:rsidRPr="0035749E">
        <w:rPr>
          <w:rFonts w:cs="Arial"/>
        </w:rPr>
        <w:t xml:space="preserve">These extant permissions comprise a total </w:t>
      </w:r>
      <w:r w:rsidR="00342DB9" w:rsidRPr="0035749E">
        <w:rPr>
          <w:rFonts w:cs="Arial"/>
        </w:rPr>
        <w:t>of 17,953</w:t>
      </w:r>
      <w:r w:rsidRPr="0035749E">
        <w:rPr>
          <w:rFonts w:cs="Arial"/>
        </w:rPr>
        <w:t xml:space="preserve"> units that have not commenced development as of Q4 2024</w:t>
      </w:r>
      <w:r w:rsidR="00F9482F">
        <w:rPr>
          <w:rFonts w:cs="Arial"/>
        </w:rPr>
        <w:t>.</w:t>
      </w:r>
    </w:p>
    <w:p w14:paraId="7BF74FE1" w14:textId="77777777" w:rsidR="00263997" w:rsidRPr="001762D2" w:rsidRDefault="00263997" w:rsidP="003840C7">
      <w:pPr>
        <w:spacing w:line="240" w:lineRule="auto"/>
        <w:rPr>
          <w:rFonts w:cs="Arial"/>
          <w:color w:val="538135" w:themeColor="accent6" w:themeShade="BF"/>
        </w:rPr>
      </w:pPr>
    </w:p>
    <w:p w14:paraId="55DAE8AC" w14:textId="77777777" w:rsidR="00921E69" w:rsidRPr="00B40734" w:rsidRDefault="00921E69" w:rsidP="00A238EE">
      <w:pPr>
        <w:spacing w:line="240" w:lineRule="auto"/>
        <w:rPr>
          <w:rFonts w:cs="Arial"/>
        </w:rPr>
      </w:pPr>
    </w:p>
    <w:bookmarkEnd w:id="7"/>
    <w:p w14:paraId="4A1D046C" w14:textId="77777777" w:rsidR="00A238EE" w:rsidRPr="00B40734" w:rsidRDefault="00A238EE" w:rsidP="00A238EE">
      <w:pPr>
        <w:numPr>
          <w:ilvl w:val="0"/>
          <w:numId w:val="5"/>
        </w:numPr>
        <w:spacing w:before="60" w:after="60"/>
        <w:rPr>
          <w:rFonts w:cs="Arial"/>
        </w:rPr>
      </w:pPr>
      <w:r w:rsidRPr="00B40734">
        <w:rPr>
          <w:rFonts w:cs="Arial"/>
          <w:i/>
        </w:rPr>
        <w:t xml:space="preserve">Residential rents (Private Residential Tenancies Board data). </w:t>
      </w:r>
    </w:p>
    <w:p w14:paraId="563F7953" w14:textId="1E15984C" w:rsidR="00A238EE" w:rsidRPr="00B40734" w:rsidRDefault="00A238EE" w:rsidP="00A238EE">
      <w:pPr>
        <w:spacing w:before="60" w:after="60"/>
        <w:contextualSpacing/>
        <w:rPr>
          <w:rFonts w:cs="Arial"/>
        </w:rPr>
      </w:pPr>
      <w:r w:rsidRPr="00B40734">
        <w:rPr>
          <w:rFonts w:cs="Arial"/>
        </w:rPr>
        <w:t xml:space="preserve">‘Standardised average rent in existing tenancies in Dublin’ in </w:t>
      </w:r>
      <w:r w:rsidRPr="009B26FF">
        <w:rPr>
          <w:rFonts w:cs="Arial"/>
        </w:rPr>
        <w:t>Q4</w:t>
      </w:r>
      <w:r w:rsidRPr="00B40734">
        <w:rPr>
          <w:rFonts w:cs="Arial"/>
        </w:rPr>
        <w:t xml:space="preserve"> 2024 was </w:t>
      </w:r>
      <w:r w:rsidRPr="00921E69">
        <w:rPr>
          <w:rFonts w:cs="Arial"/>
        </w:rPr>
        <w:t>€1</w:t>
      </w:r>
      <w:r w:rsidR="006E5CC1">
        <w:rPr>
          <w:rFonts w:cs="Arial"/>
        </w:rPr>
        <w:t>,865</w:t>
      </w:r>
      <w:r w:rsidRPr="00921E69">
        <w:rPr>
          <w:rFonts w:cs="Arial"/>
        </w:rPr>
        <w:t xml:space="preserve"> per month</w:t>
      </w:r>
      <w:r w:rsidRPr="00B40734">
        <w:rPr>
          <w:rFonts w:cs="Arial"/>
        </w:rPr>
        <w:t xml:space="preserve"> and </w:t>
      </w:r>
      <w:r w:rsidRPr="00921E69">
        <w:rPr>
          <w:rFonts w:cs="Arial"/>
        </w:rPr>
        <w:t>€</w:t>
      </w:r>
      <w:r w:rsidR="00876056">
        <w:rPr>
          <w:rFonts w:cs="Arial"/>
        </w:rPr>
        <w:t>1</w:t>
      </w:r>
      <w:r w:rsidR="00097F7F">
        <w:rPr>
          <w:rFonts w:cs="Arial"/>
        </w:rPr>
        <w:t>,</w:t>
      </w:r>
      <w:r w:rsidR="006E5CC1">
        <w:rPr>
          <w:rFonts w:cs="Arial"/>
        </w:rPr>
        <w:t>855</w:t>
      </w:r>
      <w:r w:rsidRPr="00921E69">
        <w:rPr>
          <w:rFonts w:cs="Arial"/>
          <w:b/>
        </w:rPr>
        <w:t xml:space="preserve"> </w:t>
      </w:r>
      <w:r w:rsidRPr="00B40734">
        <w:rPr>
          <w:rFonts w:cs="Arial"/>
        </w:rPr>
        <w:t xml:space="preserve">in Q2 2024 </w:t>
      </w:r>
      <w:r w:rsidR="00876056" w:rsidRPr="00B40734">
        <w:rPr>
          <w:rFonts w:cs="Arial"/>
        </w:rPr>
        <w:t>(source</w:t>
      </w:r>
      <w:r w:rsidR="00876056">
        <w:rPr>
          <w:rFonts w:cs="Arial"/>
        </w:rPr>
        <w:t>:</w:t>
      </w:r>
      <w:r w:rsidR="00876056" w:rsidRPr="00B40734">
        <w:rPr>
          <w:rFonts w:cs="Arial"/>
        </w:rPr>
        <w:t xml:space="preserve"> rtb.ie)</w:t>
      </w:r>
    </w:p>
    <w:p w14:paraId="5C1E5A0A" w14:textId="77777777" w:rsidR="00A238EE" w:rsidRPr="00B40734" w:rsidRDefault="00A238EE" w:rsidP="00A238EE">
      <w:pPr>
        <w:spacing w:before="60" w:after="60"/>
        <w:rPr>
          <w:rFonts w:cs="Arial"/>
        </w:rPr>
      </w:pPr>
    </w:p>
    <w:p w14:paraId="13711943" w14:textId="77777777" w:rsidR="00A238EE" w:rsidRPr="00B40734" w:rsidRDefault="00A238EE" w:rsidP="00A238EE">
      <w:pPr>
        <w:numPr>
          <w:ilvl w:val="0"/>
          <w:numId w:val="5"/>
        </w:numPr>
        <w:spacing w:after="160"/>
        <w:contextualSpacing/>
        <w:rPr>
          <w:i/>
        </w:rPr>
      </w:pPr>
      <w:bookmarkStart w:id="8" w:name="_Hlk207709858"/>
      <w:r w:rsidRPr="00B40734">
        <w:rPr>
          <w:rFonts w:cs="Arial"/>
          <w:i/>
        </w:rPr>
        <w:t>Residential property price index – Dublin (available from Central Statistics Office).</w:t>
      </w:r>
    </w:p>
    <w:p w14:paraId="2AE62C34" w14:textId="6EE2F724" w:rsidR="004110E9" w:rsidRDefault="00294410" w:rsidP="00A238EE">
      <w:pPr>
        <w:spacing w:before="60" w:after="60"/>
        <w:rPr>
          <w:rFonts w:cs="Arial"/>
        </w:rPr>
      </w:pPr>
      <w:r>
        <w:rPr>
          <w:rFonts w:cs="Arial"/>
        </w:rPr>
        <w:t>In Dublin, r</w:t>
      </w:r>
      <w:r w:rsidR="00A238EE" w:rsidRPr="00B40734">
        <w:rPr>
          <w:rFonts w:cs="Arial"/>
        </w:rPr>
        <w:t xml:space="preserve">esidential </w:t>
      </w:r>
      <w:r>
        <w:rPr>
          <w:rFonts w:cs="Arial"/>
        </w:rPr>
        <w:t>p</w:t>
      </w:r>
      <w:r w:rsidR="00A238EE" w:rsidRPr="00B40734">
        <w:rPr>
          <w:rFonts w:cs="Arial"/>
        </w:rPr>
        <w:t xml:space="preserve">roperty </w:t>
      </w:r>
      <w:r>
        <w:rPr>
          <w:rFonts w:cs="Arial"/>
        </w:rPr>
        <w:t>p</w:t>
      </w:r>
      <w:r w:rsidR="00A238EE" w:rsidRPr="00B40734">
        <w:rPr>
          <w:rFonts w:cs="Arial"/>
        </w:rPr>
        <w:t>rice</w:t>
      </w:r>
      <w:r>
        <w:rPr>
          <w:rFonts w:cs="Arial"/>
        </w:rPr>
        <w:t>s saw</w:t>
      </w:r>
      <w:r w:rsidR="00776413">
        <w:rPr>
          <w:rFonts w:cs="Arial"/>
        </w:rPr>
        <w:t xml:space="preserve"> an increase of 7.5% </w:t>
      </w:r>
      <w:r>
        <w:rPr>
          <w:rFonts w:cs="Arial"/>
        </w:rPr>
        <w:t>to January</w:t>
      </w:r>
      <w:r w:rsidR="00A238EE" w:rsidRPr="00921E69">
        <w:rPr>
          <w:rFonts w:cs="Arial"/>
        </w:rPr>
        <w:t xml:space="preserve"> 202</w:t>
      </w:r>
      <w:r>
        <w:rPr>
          <w:rFonts w:cs="Arial"/>
        </w:rPr>
        <w:t>5</w:t>
      </w:r>
      <w:r w:rsidR="00921E69">
        <w:rPr>
          <w:rFonts w:cs="Arial"/>
        </w:rPr>
        <w:t>,</w:t>
      </w:r>
      <w:r w:rsidR="00A238EE" w:rsidRPr="00921E69">
        <w:rPr>
          <w:rFonts w:cs="Arial"/>
          <w:color w:val="538135" w:themeColor="accent6" w:themeShade="BF"/>
        </w:rPr>
        <w:t xml:space="preserve"> </w:t>
      </w:r>
      <w:r w:rsidR="00A238EE" w:rsidRPr="00921E69">
        <w:rPr>
          <w:rFonts w:cs="Arial"/>
        </w:rPr>
        <w:t xml:space="preserve">whilst the equivalent </w:t>
      </w:r>
      <w:r w:rsidR="00776413">
        <w:rPr>
          <w:rFonts w:cs="Arial"/>
        </w:rPr>
        <w:t xml:space="preserve">figure </w:t>
      </w:r>
      <w:r w:rsidR="00A238EE" w:rsidRPr="00921E69">
        <w:rPr>
          <w:rFonts w:cs="Arial"/>
        </w:rPr>
        <w:t>for Jan</w:t>
      </w:r>
      <w:r w:rsidR="00776413">
        <w:rPr>
          <w:rFonts w:cs="Arial"/>
        </w:rPr>
        <w:t>uary</w:t>
      </w:r>
      <w:r w:rsidR="00A238EE" w:rsidRPr="00921E69">
        <w:rPr>
          <w:rFonts w:cs="Arial"/>
        </w:rPr>
        <w:t xml:space="preserve"> 2024 was +4.5%. </w:t>
      </w:r>
    </w:p>
    <w:p w14:paraId="74E2DAD4" w14:textId="3D02DD91" w:rsidR="00A238EE" w:rsidRPr="00B40734" w:rsidRDefault="004110E9" w:rsidP="00A238EE">
      <w:pPr>
        <w:spacing w:before="60" w:after="60"/>
        <w:rPr>
          <w:rFonts w:cs="Arial"/>
        </w:rPr>
      </w:pPr>
      <w:r w:rsidRPr="00C737A5">
        <w:rPr>
          <w:rFonts w:cs="Arial"/>
        </w:rPr>
        <w:t>For Dublin City, the median dwelling price in the 12 months to January 2024 was €415,000. This rose to €451,000 in the 12 months to January 2025, representing an increase of 8.67%. (Source: CSO.ie)</w:t>
      </w:r>
    </w:p>
    <w:bookmarkEnd w:id="8"/>
    <w:p w14:paraId="07EDA25A" w14:textId="488DC772" w:rsidR="00A238EE" w:rsidRPr="00B40734" w:rsidRDefault="00A238EE" w:rsidP="00336E32">
      <w:pPr>
        <w:pStyle w:val="Heading3"/>
        <w:numPr>
          <w:ilvl w:val="0"/>
          <w:numId w:val="0"/>
        </w:numPr>
        <w:rPr>
          <w:rFonts w:eastAsia="Times"/>
          <w:lang w:val="en-GB" w:eastAsia="en-IE"/>
        </w:rPr>
      </w:pPr>
      <w:r w:rsidRPr="00B40734">
        <w:rPr>
          <w:rFonts w:eastAsia="Times"/>
          <w:lang w:val="en-GB" w:eastAsia="en-IE"/>
        </w:rPr>
        <w:t>Indicator 3: SDRAs</w:t>
      </w:r>
    </w:p>
    <w:p w14:paraId="427A0740" w14:textId="77777777" w:rsidR="00A238EE" w:rsidRPr="00B40734" w:rsidRDefault="00A238EE" w:rsidP="00A238EE">
      <w:pPr>
        <w:numPr>
          <w:ilvl w:val="0"/>
          <w:numId w:val="3"/>
        </w:numPr>
        <w:spacing w:before="60" w:after="60"/>
        <w:contextualSpacing/>
        <w:rPr>
          <w:rFonts w:cs="Arial"/>
          <w:i/>
        </w:rPr>
      </w:pPr>
      <w:r w:rsidRPr="00B40734">
        <w:rPr>
          <w:rFonts w:cs="Arial"/>
          <w:i/>
        </w:rPr>
        <w:t xml:space="preserve">Total number of valid planning applications received. </w:t>
      </w:r>
    </w:p>
    <w:p w14:paraId="5E74F0B3" w14:textId="77777777" w:rsidR="00A238EE" w:rsidRPr="00B40734" w:rsidRDefault="00A238EE" w:rsidP="00A238EE">
      <w:pPr>
        <w:spacing w:before="60" w:after="60"/>
        <w:ind w:firstLine="720"/>
        <w:rPr>
          <w:rFonts w:cs="Arial"/>
        </w:rPr>
      </w:pPr>
    </w:p>
    <w:p w14:paraId="4742E3AF" w14:textId="17389F44" w:rsidR="00A238EE" w:rsidRPr="00B40734" w:rsidRDefault="00A238EE" w:rsidP="00A238EE">
      <w:pPr>
        <w:keepNext/>
        <w:spacing w:after="200" w:line="276" w:lineRule="auto"/>
        <w:contextualSpacing/>
        <w:jc w:val="center"/>
        <w:rPr>
          <w:rFonts w:eastAsia="Calibri" w:cstheme="minorHAnsi"/>
          <w:b/>
          <w:bCs/>
          <w:szCs w:val="16"/>
        </w:rPr>
      </w:pPr>
      <w:bookmarkStart w:id="9" w:name="_Toc178675186"/>
      <w:bookmarkStart w:id="10" w:name="_Toc178675401"/>
      <w:bookmarkStart w:id="11" w:name="_Toc178675508"/>
      <w:bookmarkStart w:id="12" w:name="_Toc180059280"/>
      <w:r w:rsidRPr="00B40734">
        <w:rPr>
          <w:rFonts w:eastAsia="Calibri" w:cstheme="minorHAnsi"/>
          <w:b/>
          <w:bCs/>
          <w:szCs w:val="16"/>
        </w:rPr>
        <w:t xml:space="preserve">Table </w:t>
      </w:r>
      <w:r w:rsidR="00DC4656">
        <w:rPr>
          <w:rFonts w:eastAsia="Calibri" w:cstheme="minorHAnsi"/>
          <w:b/>
          <w:bCs/>
          <w:szCs w:val="16"/>
        </w:rPr>
        <w:t>5</w:t>
      </w:r>
      <w:r w:rsidRPr="00B40734">
        <w:rPr>
          <w:rFonts w:eastAsia="Calibri" w:cstheme="minorHAnsi"/>
          <w:b/>
          <w:bCs/>
          <w:szCs w:val="16"/>
        </w:rPr>
        <w:t xml:space="preserve">: Total number of Valid Planning Applications Received per SDRA in </w:t>
      </w:r>
      <w:bookmarkEnd w:id="9"/>
      <w:bookmarkEnd w:id="10"/>
      <w:bookmarkEnd w:id="11"/>
      <w:r w:rsidRPr="00B40734">
        <w:rPr>
          <w:rFonts w:eastAsia="Calibri" w:cstheme="minorHAnsi"/>
          <w:b/>
          <w:bCs/>
          <w:szCs w:val="16"/>
        </w:rPr>
        <w:t>202</w:t>
      </w:r>
      <w:bookmarkEnd w:id="12"/>
      <w:r w:rsidRPr="00B40734">
        <w:rPr>
          <w:rFonts w:eastAsia="Calibri" w:cstheme="minorHAnsi"/>
          <w:b/>
          <w:bCs/>
          <w:szCs w:val="16"/>
        </w:rPr>
        <w:t>4</w:t>
      </w:r>
      <w:r w:rsidR="009064F5">
        <w:rPr>
          <w:rFonts w:eastAsia="Calibri" w:cstheme="minorHAnsi"/>
          <w:b/>
          <w:bCs/>
          <w:szCs w:val="16"/>
        </w:rPr>
        <w:t xml:space="preserve"> </w:t>
      </w:r>
      <w:r w:rsidR="009064F5" w:rsidRPr="005A4BC4">
        <w:rPr>
          <w:rFonts w:cs="Arial"/>
        </w:rPr>
        <w:t>(Source: DCC Planning Department</w:t>
      </w:r>
      <w:r w:rsidR="009064F5">
        <w:rPr>
          <w:rFonts w:cs="Arial"/>
        </w:rPr>
        <w:t xml:space="preserve"> – APAS system query</w:t>
      </w:r>
      <w:r w:rsidR="009064F5" w:rsidRPr="005A4BC4">
        <w:rPr>
          <w:rFonts w:cs="Arial"/>
        </w:rPr>
        <w:t>)</w:t>
      </w:r>
    </w:p>
    <w:tbl>
      <w:tblPr>
        <w:tblW w:w="66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2982"/>
        <w:gridCol w:w="1266"/>
        <w:gridCol w:w="1569"/>
        <w:gridCol w:w="841"/>
      </w:tblGrid>
      <w:tr w:rsidR="00A238EE" w:rsidRPr="00B40734" w14:paraId="29B61EE3" w14:textId="77777777" w:rsidTr="00A238EE">
        <w:trPr>
          <w:cantSplit/>
          <w:tblHeader/>
          <w:jc w:val="center"/>
        </w:trPr>
        <w:tc>
          <w:tcPr>
            <w:tcW w:w="2982" w:type="dxa"/>
            <w:noWrap/>
            <w:tcMar>
              <w:top w:w="0" w:type="dxa"/>
              <w:left w:w="108" w:type="dxa"/>
              <w:bottom w:w="0" w:type="dxa"/>
              <w:right w:w="108" w:type="dxa"/>
            </w:tcMar>
            <w:hideMark/>
          </w:tcPr>
          <w:p w14:paraId="6C25968D" w14:textId="77777777" w:rsidR="00A238EE" w:rsidRPr="00B40734" w:rsidRDefault="00A238EE" w:rsidP="00A238EE">
            <w:pPr>
              <w:rPr>
                <w:rFonts w:cs="Arial"/>
                <w:b/>
                <w:bCs/>
                <w:lang w:eastAsia="en-IE"/>
              </w:rPr>
            </w:pPr>
            <w:r w:rsidRPr="00B40734">
              <w:rPr>
                <w:rFonts w:cs="Arial"/>
                <w:b/>
                <w:bCs/>
                <w:lang w:eastAsia="en-IE"/>
              </w:rPr>
              <w:t>SDRA</w:t>
            </w:r>
          </w:p>
        </w:tc>
        <w:tc>
          <w:tcPr>
            <w:tcW w:w="1266" w:type="dxa"/>
            <w:noWrap/>
            <w:tcMar>
              <w:top w:w="0" w:type="dxa"/>
              <w:left w:w="108" w:type="dxa"/>
              <w:bottom w:w="0" w:type="dxa"/>
              <w:right w:w="108" w:type="dxa"/>
            </w:tcMar>
            <w:hideMark/>
          </w:tcPr>
          <w:p w14:paraId="790D813A" w14:textId="77777777" w:rsidR="00A238EE" w:rsidRPr="00B40734" w:rsidRDefault="00A238EE" w:rsidP="00A238EE">
            <w:pPr>
              <w:jc w:val="center"/>
              <w:rPr>
                <w:rFonts w:cs="Arial"/>
                <w:b/>
                <w:bCs/>
                <w:lang w:eastAsia="en-IE"/>
              </w:rPr>
            </w:pPr>
            <w:r w:rsidRPr="00B40734">
              <w:rPr>
                <w:rFonts w:cs="Arial"/>
                <w:b/>
                <w:bCs/>
                <w:lang w:eastAsia="en-IE"/>
              </w:rPr>
              <w:t>Domestic</w:t>
            </w:r>
          </w:p>
        </w:tc>
        <w:tc>
          <w:tcPr>
            <w:tcW w:w="1569" w:type="dxa"/>
            <w:noWrap/>
            <w:tcMar>
              <w:top w:w="0" w:type="dxa"/>
              <w:left w:w="108" w:type="dxa"/>
              <w:bottom w:w="0" w:type="dxa"/>
              <w:right w:w="108" w:type="dxa"/>
            </w:tcMar>
            <w:hideMark/>
          </w:tcPr>
          <w:p w14:paraId="16237E64" w14:textId="1D67D3B7" w:rsidR="00A238EE" w:rsidRPr="00B40734" w:rsidRDefault="00746FF8" w:rsidP="00A238EE">
            <w:pPr>
              <w:jc w:val="center"/>
              <w:rPr>
                <w:rFonts w:cs="Arial"/>
                <w:b/>
                <w:bCs/>
                <w:lang w:eastAsia="en-IE"/>
              </w:rPr>
            </w:pPr>
            <w:r w:rsidRPr="00B40734">
              <w:rPr>
                <w:rFonts w:cs="Arial"/>
                <w:b/>
                <w:bCs/>
                <w:lang w:eastAsia="en-IE"/>
              </w:rPr>
              <w:t>Non-Domestic</w:t>
            </w:r>
          </w:p>
        </w:tc>
        <w:tc>
          <w:tcPr>
            <w:tcW w:w="841" w:type="dxa"/>
            <w:noWrap/>
            <w:tcMar>
              <w:top w:w="0" w:type="dxa"/>
              <w:left w:w="108" w:type="dxa"/>
              <w:bottom w:w="0" w:type="dxa"/>
              <w:right w:w="108" w:type="dxa"/>
            </w:tcMar>
            <w:hideMark/>
          </w:tcPr>
          <w:p w14:paraId="6AB48097" w14:textId="77777777" w:rsidR="00A238EE" w:rsidRPr="00B40734" w:rsidRDefault="00A238EE" w:rsidP="00A238EE">
            <w:pPr>
              <w:jc w:val="center"/>
              <w:rPr>
                <w:rFonts w:cs="Arial"/>
                <w:b/>
                <w:bCs/>
                <w:lang w:eastAsia="en-IE"/>
              </w:rPr>
            </w:pPr>
            <w:r w:rsidRPr="00B40734">
              <w:rPr>
                <w:rFonts w:cs="Arial"/>
                <w:b/>
                <w:bCs/>
                <w:lang w:eastAsia="en-IE"/>
              </w:rPr>
              <w:t>Total</w:t>
            </w:r>
          </w:p>
        </w:tc>
      </w:tr>
      <w:tr w:rsidR="00A238EE" w:rsidRPr="00B40734" w14:paraId="4EDBFF9B" w14:textId="77777777" w:rsidTr="00A238EE">
        <w:trPr>
          <w:cantSplit/>
          <w:jc w:val="center"/>
        </w:trPr>
        <w:tc>
          <w:tcPr>
            <w:tcW w:w="2982" w:type="dxa"/>
            <w:noWrap/>
            <w:tcMar>
              <w:top w:w="0" w:type="dxa"/>
              <w:left w:w="108" w:type="dxa"/>
              <w:bottom w:w="0" w:type="dxa"/>
              <w:right w:w="108" w:type="dxa"/>
            </w:tcMar>
            <w:hideMark/>
          </w:tcPr>
          <w:p w14:paraId="4ACBB1DF" w14:textId="77777777" w:rsidR="00A238EE" w:rsidRPr="00B40734" w:rsidRDefault="00A238EE" w:rsidP="00A238EE">
            <w:pPr>
              <w:rPr>
                <w:rFonts w:cs="Arial"/>
                <w:lang w:eastAsia="en-IE"/>
              </w:rPr>
            </w:pPr>
            <w:r w:rsidRPr="00B40734">
              <w:rPr>
                <w:rFonts w:cs="Arial"/>
                <w:lang w:eastAsia="en-IE"/>
              </w:rPr>
              <w:t>Ballymun</w:t>
            </w:r>
          </w:p>
        </w:tc>
        <w:tc>
          <w:tcPr>
            <w:tcW w:w="1266" w:type="dxa"/>
            <w:noWrap/>
            <w:tcMar>
              <w:top w:w="0" w:type="dxa"/>
              <w:left w:w="108" w:type="dxa"/>
              <w:bottom w:w="0" w:type="dxa"/>
              <w:right w:w="108" w:type="dxa"/>
            </w:tcMar>
          </w:tcPr>
          <w:p w14:paraId="037395D3" w14:textId="77777777" w:rsidR="00A238EE" w:rsidRPr="00720329" w:rsidRDefault="00A238EE" w:rsidP="00A238EE">
            <w:pPr>
              <w:jc w:val="center"/>
              <w:rPr>
                <w:rFonts w:cs="Arial"/>
                <w:lang w:eastAsia="en-IE"/>
              </w:rPr>
            </w:pPr>
            <w:r w:rsidRPr="00720329">
              <w:rPr>
                <w:rFonts w:cs="Arial"/>
                <w:lang w:eastAsia="en-IE"/>
              </w:rPr>
              <w:t>6</w:t>
            </w:r>
          </w:p>
        </w:tc>
        <w:tc>
          <w:tcPr>
            <w:tcW w:w="1569" w:type="dxa"/>
            <w:noWrap/>
            <w:tcMar>
              <w:top w:w="0" w:type="dxa"/>
              <w:left w:w="108" w:type="dxa"/>
              <w:bottom w:w="0" w:type="dxa"/>
              <w:right w:w="108" w:type="dxa"/>
            </w:tcMar>
          </w:tcPr>
          <w:p w14:paraId="04478304" w14:textId="77777777" w:rsidR="00A238EE" w:rsidRPr="00720329" w:rsidRDefault="00A238EE" w:rsidP="00A238EE">
            <w:pPr>
              <w:jc w:val="center"/>
              <w:rPr>
                <w:rFonts w:cs="Arial"/>
                <w:lang w:eastAsia="en-IE"/>
              </w:rPr>
            </w:pPr>
            <w:r w:rsidRPr="00720329">
              <w:rPr>
                <w:rFonts w:cs="Arial"/>
                <w:lang w:eastAsia="en-IE"/>
              </w:rPr>
              <w:t>14</w:t>
            </w:r>
          </w:p>
        </w:tc>
        <w:tc>
          <w:tcPr>
            <w:tcW w:w="841" w:type="dxa"/>
            <w:noWrap/>
            <w:tcMar>
              <w:top w:w="0" w:type="dxa"/>
              <w:left w:w="108" w:type="dxa"/>
              <w:bottom w:w="0" w:type="dxa"/>
              <w:right w:w="108" w:type="dxa"/>
            </w:tcMar>
          </w:tcPr>
          <w:p w14:paraId="4679EF3E" w14:textId="77777777" w:rsidR="00A238EE" w:rsidRPr="00720329" w:rsidRDefault="00A238EE" w:rsidP="00A238EE">
            <w:pPr>
              <w:jc w:val="center"/>
              <w:rPr>
                <w:rFonts w:cs="Arial"/>
                <w:lang w:eastAsia="en-IE"/>
              </w:rPr>
            </w:pPr>
            <w:r w:rsidRPr="00720329">
              <w:rPr>
                <w:rFonts w:cs="Arial"/>
                <w:lang w:eastAsia="en-IE"/>
              </w:rPr>
              <w:t>20</w:t>
            </w:r>
          </w:p>
        </w:tc>
      </w:tr>
      <w:tr w:rsidR="00A238EE" w:rsidRPr="00B40734" w14:paraId="42CF01D0" w14:textId="77777777" w:rsidTr="00A238EE">
        <w:trPr>
          <w:cantSplit/>
          <w:jc w:val="center"/>
        </w:trPr>
        <w:tc>
          <w:tcPr>
            <w:tcW w:w="2982" w:type="dxa"/>
            <w:noWrap/>
            <w:tcMar>
              <w:top w:w="0" w:type="dxa"/>
              <w:left w:w="108" w:type="dxa"/>
              <w:bottom w:w="0" w:type="dxa"/>
              <w:right w:w="108" w:type="dxa"/>
            </w:tcMar>
            <w:hideMark/>
          </w:tcPr>
          <w:p w14:paraId="68E9AE3B" w14:textId="77777777" w:rsidR="00A238EE" w:rsidRPr="00B40734" w:rsidRDefault="00A238EE" w:rsidP="00A238EE">
            <w:pPr>
              <w:rPr>
                <w:rFonts w:cs="Arial"/>
                <w:lang w:eastAsia="en-IE"/>
              </w:rPr>
            </w:pPr>
            <w:proofErr w:type="spellStart"/>
            <w:r w:rsidRPr="00B40734">
              <w:rPr>
                <w:rFonts w:cs="Arial"/>
                <w:lang w:eastAsia="en-IE"/>
              </w:rPr>
              <w:t>Clongriffin</w:t>
            </w:r>
            <w:proofErr w:type="spellEnd"/>
            <w:r w:rsidRPr="00B40734">
              <w:rPr>
                <w:rFonts w:cs="Arial"/>
                <w:lang w:eastAsia="en-IE"/>
              </w:rPr>
              <w:t>/</w:t>
            </w:r>
            <w:proofErr w:type="spellStart"/>
            <w:r w:rsidRPr="00B40734">
              <w:rPr>
                <w:rFonts w:cs="Arial"/>
                <w:lang w:eastAsia="en-IE"/>
              </w:rPr>
              <w:t>Belmayne</w:t>
            </w:r>
            <w:proofErr w:type="spellEnd"/>
          </w:p>
        </w:tc>
        <w:tc>
          <w:tcPr>
            <w:tcW w:w="1266" w:type="dxa"/>
            <w:noWrap/>
            <w:tcMar>
              <w:top w:w="0" w:type="dxa"/>
              <w:left w:w="108" w:type="dxa"/>
              <w:bottom w:w="0" w:type="dxa"/>
              <w:right w:w="108" w:type="dxa"/>
            </w:tcMar>
          </w:tcPr>
          <w:p w14:paraId="67CDEDDD" w14:textId="77777777" w:rsidR="00A238EE" w:rsidRPr="00720329" w:rsidRDefault="00A238EE" w:rsidP="00A238EE">
            <w:pPr>
              <w:jc w:val="center"/>
              <w:rPr>
                <w:rFonts w:cs="Arial"/>
                <w:lang w:eastAsia="en-IE"/>
              </w:rPr>
            </w:pPr>
            <w:r w:rsidRPr="00720329">
              <w:rPr>
                <w:rFonts w:cs="Arial"/>
                <w:lang w:eastAsia="en-IE"/>
              </w:rPr>
              <w:t>17</w:t>
            </w:r>
          </w:p>
        </w:tc>
        <w:tc>
          <w:tcPr>
            <w:tcW w:w="1569" w:type="dxa"/>
            <w:noWrap/>
            <w:tcMar>
              <w:top w:w="0" w:type="dxa"/>
              <w:left w:w="108" w:type="dxa"/>
              <w:bottom w:w="0" w:type="dxa"/>
              <w:right w:w="108" w:type="dxa"/>
            </w:tcMar>
          </w:tcPr>
          <w:p w14:paraId="622B2EB8" w14:textId="77777777" w:rsidR="00A238EE" w:rsidRPr="00720329" w:rsidRDefault="00A238EE" w:rsidP="00A238EE">
            <w:pPr>
              <w:jc w:val="center"/>
              <w:rPr>
                <w:rFonts w:cs="Arial"/>
                <w:lang w:eastAsia="en-IE"/>
              </w:rPr>
            </w:pPr>
            <w:r w:rsidRPr="00720329">
              <w:rPr>
                <w:rFonts w:cs="Arial"/>
                <w:lang w:eastAsia="en-IE"/>
              </w:rPr>
              <w:t>6</w:t>
            </w:r>
          </w:p>
        </w:tc>
        <w:tc>
          <w:tcPr>
            <w:tcW w:w="841" w:type="dxa"/>
            <w:noWrap/>
            <w:tcMar>
              <w:top w:w="0" w:type="dxa"/>
              <w:left w:w="108" w:type="dxa"/>
              <w:bottom w:w="0" w:type="dxa"/>
              <w:right w:w="108" w:type="dxa"/>
            </w:tcMar>
          </w:tcPr>
          <w:p w14:paraId="2DAC3737" w14:textId="77777777" w:rsidR="00A238EE" w:rsidRPr="00720329" w:rsidRDefault="00A238EE" w:rsidP="00A238EE">
            <w:pPr>
              <w:jc w:val="center"/>
              <w:rPr>
                <w:rFonts w:cs="Arial"/>
                <w:lang w:eastAsia="en-IE"/>
              </w:rPr>
            </w:pPr>
            <w:r w:rsidRPr="00720329">
              <w:rPr>
                <w:rFonts w:cs="Arial"/>
                <w:lang w:eastAsia="en-IE"/>
              </w:rPr>
              <w:t>23</w:t>
            </w:r>
          </w:p>
        </w:tc>
      </w:tr>
      <w:tr w:rsidR="00A238EE" w:rsidRPr="00B40734" w14:paraId="32F145A8" w14:textId="77777777" w:rsidTr="00A238EE">
        <w:trPr>
          <w:cantSplit/>
          <w:jc w:val="center"/>
        </w:trPr>
        <w:tc>
          <w:tcPr>
            <w:tcW w:w="2982" w:type="dxa"/>
            <w:noWrap/>
            <w:tcMar>
              <w:top w:w="0" w:type="dxa"/>
              <w:left w:w="108" w:type="dxa"/>
              <w:bottom w:w="0" w:type="dxa"/>
              <w:right w:w="108" w:type="dxa"/>
            </w:tcMar>
            <w:hideMark/>
          </w:tcPr>
          <w:p w14:paraId="1A855152" w14:textId="77777777" w:rsidR="00A238EE" w:rsidRPr="00B40734" w:rsidRDefault="00A238EE" w:rsidP="00A238EE">
            <w:pPr>
              <w:rPr>
                <w:rFonts w:cs="Arial"/>
                <w:lang w:eastAsia="en-IE"/>
              </w:rPr>
            </w:pPr>
            <w:r w:rsidRPr="00B40734">
              <w:rPr>
                <w:rFonts w:cs="Arial"/>
                <w:lang w:eastAsia="en-IE"/>
              </w:rPr>
              <w:t>Docklands</w:t>
            </w:r>
          </w:p>
        </w:tc>
        <w:tc>
          <w:tcPr>
            <w:tcW w:w="1266" w:type="dxa"/>
            <w:noWrap/>
            <w:tcMar>
              <w:top w:w="0" w:type="dxa"/>
              <w:left w:w="108" w:type="dxa"/>
              <w:bottom w:w="0" w:type="dxa"/>
              <w:right w:w="108" w:type="dxa"/>
            </w:tcMar>
          </w:tcPr>
          <w:p w14:paraId="078D7894" w14:textId="77777777" w:rsidR="00A238EE" w:rsidRPr="00720329" w:rsidRDefault="00A238EE" w:rsidP="00A238EE">
            <w:pPr>
              <w:jc w:val="center"/>
              <w:rPr>
                <w:rFonts w:cs="Arial"/>
                <w:lang w:eastAsia="en-IE"/>
              </w:rPr>
            </w:pPr>
            <w:r w:rsidRPr="00720329">
              <w:rPr>
                <w:rFonts w:cs="Arial"/>
                <w:lang w:eastAsia="en-IE"/>
              </w:rPr>
              <w:t>32</w:t>
            </w:r>
          </w:p>
        </w:tc>
        <w:tc>
          <w:tcPr>
            <w:tcW w:w="1569" w:type="dxa"/>
            <w:noWrap/>
            <w:tcMar>
              <w:top w:w="0" w:type="dxa"/>
              <w:left w:w="108" w:type="dxa"/>
              <w:bottom w:w="0" w:type="dxa"/>
              <w:right w:w="108" w:type="dxa"/>
            </w:tcMar>
          </w:tcPr>
          <w:p w14:paraId="59578BAC" w14:textId="77777777" w:rsidR="00A238EE" w:rsidRPr="00720329" w:rsidRDefault="00A238EE" w:rsidP="00A238EE">
            <w:pPr>
              <w:jc w:val="center"/>
              <w:rPr>
                <w:rFonts w:cs="Arial"/>
                <w:lang w:eastAsia="en-IE"/>
              </w:rPr>
            </w:pPr>
            <w:r w:rsidRPr="00720329">
              <w:rPr>
                <w:rFonts w:cs="Arial"/>
                <w:lang w:eastAsia="en-IE"/>
              </w:rPr>
              <w:t>80</w:t>
            </w:r>
          </w:p>
        </w:tc>
        <w:tc>
          <w:tcPr>
            <w:tcW w:w="841" w:type="dxa"/>
            <w:noWrap/>
            <w:tcMar>
              <w:top w:w="0" w:type="dxa"/>
              <w:left w:w="108" w:type="dxa"/>
              <w:bottom w:w="0" w:type="dxa"/>
              <w:right w:w="108" w:type="dxa"/>
            </w:tcMar>
          </w:tcPr>
          <w:p w14:paraId="0E963162" w14:textId="77777777" w:rsidR="00A238EE" w:rsidRPr="00720329" w:rsidRDefault="00A238EE" w:rsidP="00A238EE">
            <w:pPr>
              <w:jc w:val="center"/>
              <w:rPr>
                <w:rFonts w:cs="Arial"/>
                <w:lang w:eastAsia="en-IE"/>
              </w:rPr>
            </w:pPr>
            <w:r w:rsidRPr="00720329">
              <w:rPr>
                <w:rFonts w:cs="Arial"/>
                <w:lang w:eastAsia="en-IE"/>
              </w:rPr>
              <w:t>112</w:t>
            </w:r>
          </w:p>
        </w:tc>
      </w:tr>
      <w:tr w:rsidR="00A238EE" w:rsidRPr="00B40734" w14:paraId="48DDD677" w14:textId="77777777" w:rsidTr="00A238EE">
        <w:trPr>
          <w:cantSplit/>
          <w:jc w:val="center"/>
        </w:trPr>
        <w:tc>
          <w:tcPr>
            <w:tcW w:w="2982" w:type="dxa"/>
            <w:noWrap/>
            <w:tcMar>
              <w:top w:w="0" w:type="dxa"/>
              <w:left w:w="108" w:type="dxa"/>
              <w:bottom w:w="0" w:type="dxa"/>
              <w:right w:w="108" w:type="dxa"/>
            </w:tcMar>
            <w:hideMark/>
          </w:tcPr>
          <w:p w14:paraId="6D0A1BB0" w14:textId="77777777" w:rsidR="00A238EE" w:rsidRPr="00B40734" w:rsidRDefault="00A238EE" w:rsidP="00A238EE">
            <w:pPr>
              <w:rPr>
                <w:rFonts w:cs="Arial"/>
                <w:lang w:eastAsia="en-IE"/>
              </w:rPr>
            </w:pPr>
            <w:r w:rsidRPr="00B40734">
              <w:rPr>
                <w:rFonts w:cs="Arial"/>
                <w:lang w:eastAsia="en-IE"/>
              </w:rPr>
              <w:t>Emmet Road</w:t>
            </w:r>
          </w:p>
        </w:tc>
        <w:tc>
          <w:tcPr>
            <w:tcW w:w="1266" w:type="dxa"/>
            <w:noWrap/>
            <w:tcMar>
              <w:top w:w="0" w:type="dxa"/>
              <w:left w:w="108" w:type="dxa"/>
              <w:bottom w:w="0" w:type="dxa"/>
              <w:right w:w="108" w:type="dxa"/>
            </w:tcMar>
          </w:tcPr>
          <w:p w14:paraId="37D53117" w14:textId="77777777" w:rsidR="00A238EE" w:rsidRPr="00720329" w:rsidRDefault="00A238EE" w:rsidP="00A238EE">
            <w:pPr>
              <w:jc w:val="center"/>
              <w:rPr>
                <w:rFonts w:cs="Arial"/>
                <w:lang w:eastAsia="en-IE"/>
              </w:rPr>
            </w:pPr>
            <w:r w:rsidRPr="00720329">
              <w:rPr>
                <w:rFonts w:cs="Arial"/>
                <w:lang w:eastAsia="en-IE"/>
              </w:rPr>
              <w:t>1</w:t>
            </w:r>
          </w:p>
        </w:tc>
        <w:tc>
          <w:tcPr>
            <w:tcW w:w="1569" w:type="dxa"/>
            <w:noWrap/>
            <w:tcMar>
              <w:top w:w="0" w:type="dxa"/>
              <w:left w:w="108" w:type="dxa"/>
              <w:bottom w:w="0" w:type="dxa"/>
              <w:right w:w="108" w:type="dxa"/>
            </w:tcMar>
          </w:tcPr>
          <w:p w14:paraId="08C90677" w14:textId="77777777" w:rsidR="00A238EE" w:rsidRPr="00720329" w:rsidRDefault="00A238EE" w:rsidP="00A238EE">
            <w:pPr>
              <w:jc w:val="center"/>
              <w:rPr>
                <w:rFonts w:cs="Arial"/>
                <w:lang w:eastAsia="en-IE"/>
              </w:rPr>
            </w:pPr>
            <w:r w:rsidRPr="00720329">
              <w:rPr>
                <w:rFonts w:cs="Arial"/>
                <w:lang w:eastAsia="en-IE"/>
              </w:rPr>
              <w:t>7</w:t>
            </w:r>
          </w:p>
        </w:tc>
        <w:tc>
          <w:tcPr>
            <w:tcW w:w="841" w:type="dxa"/>
            <w:noWrap/>
            <w:tcMar>
              <w:top w:w="0" w:type="dxa"/>
              <w:left w:w="108" w:type="dxa"/>
              <w:bottom w:w="0" w:type="dxa"/>
              <w:right w:w="108" w:type="dxa"/>
            </w:tcMar>
          </w:tcPr>
          <w:p w14:paraId="2309C52B" w14:textId="77777777" w:rsidR="00A238EE" w:rsidRPr="00720329" w:rsidRDefault="00A238EE" w:rsidP="00A238EE">
            <w:pPr>
              <w:jc w:val="center"/>
              <w:rPr>
                <w:rFonts w:cs="Arial"/>
                <w:lang w:eastAsia="en-IE"/>
              </w:rPr>
            </w:pPr>
            <w:r w:rsidRPr="00720329">
              <w:rPr>
                <w:rFonts w:cs="Arial"/>
                <w:lang w:eastAsia="en-IE"/>
              </w:rPr>
              <w:t>8</w:t>
            </w:r>
          </w:p>
        </w:tc>
      </w:tr>
      <w:tr w:rsidR="00A238EE" w:rsidRPr="00B40734" w14:paraId="70A009EA" w14:textId="77777777" w:rsidTr="00A238EE">
        <w:trPr>
          <w:cantSplit/>
          <w:jc w:val="center"/>
        </w:trPr>
        <w:tc>
          <w:tcPr>
            <w:tcW w:w="2982" w:type="dxa"/>
            <w:noWrap/>
            <w:tcMar>
              <w:top w:w="0" w:type="dxa"/>
              <w:left w:w="108" w:type="dxa"/>
              <w:bottom w:w="0" w:type="dxa"/>
              <w:right w:w="108" w:type="dxa"/>
            </w:tcMar>
            <w:hideMark/>
          </w:tcPr>
          <w:p w14:paraId="017976E4" w14:textId="77777777" w:rsidR="00A238EE" w:rsidRPr="00B40734" w:rsidRDefault="00A238EE" w:rsidP="00A238EE">
            <w:pPr>
              <w:rPr>
                <w:rFonts w:cs="Arial"/>
                <w:lang w:eastAsia="en-IE"/>
              </w:rPr>
            </w:pPr>
            <w:r w:rsidRPr="00B40734">
              <w:rPr>
                <w:rFonts w:cs="Arial"/>
                <w:lang w:eastAsia="en-IE"/>
              </w:rPr>
              <w:t>Finglas Village and Jamestown Road</w:t>
            </w:r>
          </w:p>
        </w:tc>
        <w:tc>
          <w:tcPr>
            <w:tcW w:w="1266" w:type="dxa"/>
            <w:noWrap/>
            <w:tcMar>
              <w:top w:w="0" w:type="dxa"/>
              <w:left w:w="108" w:type="dxa"/>
              <w:bottom w:w="0" w:type="dxa"/>
              <w:right w:w="108" w:type="dxa"/>
            </w:tcMar>
          </w:tcPr>
          <w:p w14:paraId="2BD2AC45" w14:textId="77777777" w:rsidR="00A238EE" w:rsidRPr="00720329" w:rsidRDefault="00A238EE" w:rsidP="00A238EE">
            <w:pPr>
              <w:jc w:val="center"/>
              <w:rPr>
                <w:rFonts w:cs="Arial"/>
                <w:lang w:eastAsia="en-IE"/>
              </w:rPr>
            </w:pPr>
            <w:r w:rsidRPr="00720329">
              <w:rPr>
                <w:rFonts w:cs="Arial"/>
                <w:lang w:eastAsia="en-IE"/>
              </w:rPr>
              <w:t>5</w:t>
            </w:r>
          </w:p>
        </w:tc>
        <w:tc>
          <w:tcPr>
            <w:tcW w:w="1569" w:type="dxa"/>
            <w:noWrap/>
            <w:tcMar>
              <w:top w:w="0" w:type="dxa"/>
              <w:left w:w="108" w:type="dxa"/>
              <w:bottom w:w="0" w:type="dxa"/>
              <w:right w:w="108" w:type="dxa"/>
            </w:tcMar>
          </w:tcPr>
          <w:p w14:paraId="4C27A9AF" w14:textId="77777777" w:rsidR="00A238EE" w:rsidRPr="00720329" w:rsidRDefault="00A238EE" w:rsidP="00A238EE">
            <w:pPr>
              <w:jc w:val="center"/>
              <w:rPr>
                <w:rFonts w:cs="Arial"/>
                <w:lang w:eastAsia="en-IE"/>
              </w:rPr>
            </w:pPr>
            <w:r w:rsidRPr="00720329">
              <w:rPr>
                <w:rFonts w:cs="Arial"/>
                <w:lang w:eastAsia="en-IE"/>
              </w:rPr>
              <w:t>12</w:t>
            </w:r>
          </w:p>
        </w:tc>
        <w:tc>
          <w:tcPr>
            <w:tcW w:w="841" w:type="dxa"/>
            <w:noWrap/>
            <w:tcMar>
              <w:top w:w="0" w:type="dxa"/>
              <w:left w:w="108" w:type="dxa"/>
              <w:bottom w:w="0" w:type="dxa"/>
              <w:right w:w="108" w:type="dxa"/>
            </w:tcMar>
          </w:tcPr>
          <w:p w14:paraId="28A58304" w14:textId="77777777" w:rsidR="00A238EE" w:rsidRPr="00720329" w:rsidRDefault="00A238EE" w:rsidP="00A238EE">
            <w:pPr>
              <w:jc w:val="center"/>
              <w:rPr>
                <w:rFonts w:cs="Arial"/>
                <w:lang w:eastAsia="en-IE"/>
              </w:rPr>
            </w:pPr>
            <w:r w:rsidRPr="00720329">
              <w:rPr>
                <w:rFonts w:cs="Arial"/>
                <w:lang w:eastAsia="en-IE"/>
              </w:rPr>
              <w:t>17</w:t>
            </w:r>
          </w:p>
        </w:tc>
      </w:tr>
      <w:tr w:rsidR="00A238EE" w:rsidRPr="00B40734" w14:paraId="4C5B921C" w14:textId="77777777" w:rsidTr="00A238EE">
        <w:trPr>
          <w:cantSplit/>
          <w:jc w:val="center"/>
        </w:trPr>
        <w:tc>
          <w:tcPr>
            <w:tcW w:w="2982" w:type="dxa"/>
            <w:noWrap/>
            <w:tcMar>
              <w:top w:w="0" w:type="dxa"/>
              <w:left w:w="108" w:type="dxa"/>
              <w:bottom w:w="0" w:type="dxa"/>
              <w:right w:w="108" w:type="dxa"/>
            </w:tcMar>
            <w:hideMark/>
          </w:tcPr>
          <w:p w14:paraId="46A95191" w14:textId="77777777" w:rsidR="00A238EE" w:rsidRPr="00B40734" w:rsidRDefault="00A238EE" w:rsidP="00A238EE">
            <w:pPr>
              <w:rPr>
                <w:rFonts w:cs="Arial"/>
                <w:lang w:eastAsia="en-IE"/>
              </w:rPr>
            </w:pPr>
            <w:proofErr w:type="spellStart"/>
            <w:r w:rsidRPr="00B40734">
              <w:rPr>
                <w:rFonts w:cs="Arial"/>
                <w:lang w:eastAsia="en-IE"/>
              </w:rPr>
              <w:t>Grangegorman</w:t>
            </w:r>
            <w:proofErr w:type="spellEnd"/>
            <w:r w:rsidRPr="00B40734">
              <w:rPr>
                <w:rFonts w:cs="Arial"/>
                <w:lang w:eastAsia="en-IE"/>
              </w:rPr>
              <w:t>/Broadstone</w:t>
            </w:r>
          </w:p>
        </w:tc>
        <w:tc>
          <w:tcPr>
            <w:tcW w:w="1266" w:type="dxa"/>
            <w:noWrap/>
            <w:tcMar>
              <w:top w:w="0" w:type="dxa"/>
              <w:left w:w="108" w:type="dxa"/>
              <w:bottom w:w="0" w:type="dxa"/>
              <w:right w:w="108" w:type="dxa"/>
            </w:tcMar>
          </w:tcPr>
          <w:p w14:paraId="68AAEF61" w14:textId="77777777" w:rsidR="00A238EE" w:rsidRPr="00720329" w:rsidRDefault="00A238EE" w:rsidP="00A238EE">
            <w:pPr>
              <w:jc w:val="center"/>
              <w:rPr>
                <w:rFonts w:cs="Arial"/>
                <w:lang w:eastAsia="en-IE"/>
              </w:rPr>
            </w:pPr>
            <w:r w:rsidRPr="00720329">
              <w:rPr>
                <w:rFonts w:cs="Arial"/>
                <w:lang w:eastAsia="en-IE"/>
              </w:rPr>
              <w:t>-</w:t>
            </w:r>
          </w:p>
        </w:tc>
        <w:tc>
          <w:tcPr>
            <w:tcW w:w="1569" w:type="dxa"/>
            <w:noWrap/>
            <w:tcMar>
              <w:top w:w="0" w:type="dxa"/>
              <w:left w:w="108" w:type="dxa"/>
              <w:bottom w:w="0" w:type="dxa"/>
              <w:right w:w="108" w:type="dxa"/>
            </w:tcMar>
          </w:tcPr>
          <w:p w14:paraId="00AE55ED" w14:textId="77777777" w:rsidR="00A238EE" w:rsidRPr="00720329" w:rsidRDefault="00A238EE" w:rsidP="00A238EE">
            <w:pPr>
              <w:jc w:val="center"/>
              <w:rPr>
                <w:rFonts w:cs="Arial"/>
                <w:lang w:eastAsia="en-IE"/>
              </w:rPr>
            </w:pPr>
            <w:r w:rsidRPr="00720329">
              <w:rPr>
                <w:rFonts w:cs="Arial"/>
                <w:lang w:eastAsia="en-IE"/>
              </w:rPr>
              <w:t>6</w:t>
            </w:r>
          </w:p>
        </w:tc>
        <w:tc>
          <w:tcPr>
            <w:tcW w:w="841" w:type="dxa"/>
            <w:noWrap/>
            <w:tcMar>
              <w:top w:w="0" w:type="dxa"/>
              <w:left w:w="108" w:type="dxa"/>
              <w:bottom w:w="0" w:type="dxa"/>
              <w:right w:w="108" w:type="dxa"/>
            </w:tcMar>
          </w:tcPr>
          <w:p w14:paraId="3B2317F9" w14:textId="77777777" w:rsidR="00A238EE" w:rsidRPr="00720329" w:rsidRDefault="00A238EE" w:rsidP="00A238EE">
            <w:pPr>
              <w:jc w:val="center"/>
              <w:rPr>
                <w:rFonts w:cs="Arial"/>
                <w:lang w:eastAsia="en-IE"/>
              </w:rPr>
            </w:pPr>
            <w:r w:rsidRPr="00720329">
              <w:rPr>
                <w:rFonts w:cs="Arial"/>
                <w:lang w:eastAsia="en-IE"/>
              </w:rPr>
              <w:t>6</w:t>
            </w:r>
          </w:p>
        </w:tc>
      </w:tr>
      <w:tr w:rsidR="00A238EE" w:rsidRPr="00B40734" w14:paraId="6A5ADE95" w14:textId="77777777" w:rsidTr="00A238EE">
        <w:trPr>
          <w:cantSplit/>
          <w:jc w:val="center"/>
        </w:trPr>
        <w:tc>
          <w:tcPr>
            <w:tcW w:w="2982" w:type="dxa"/>
            <w:noWrap/>
            <w:tcMar>
              <w:top w:w="0" w:type="dxa"/>
              <w:left w:w="108" w:type="dxa"/>
              <w:bottom w:w="0" w:type="dxa"/>
              <w:right w:w="108" w:type="dxa"/>
            </w:tcMar>
            <w:hideMark/>
          </w:tcPr>
          <w:p w14:paraId="70011BA1" w14:textId="77777777" w:rsidR="00A238EE" w:rsidRPr="00B40734" w:rsidRDefault="00A238EE" w:rsidP="00A238EE">
            <w:pPr>
              <w:rPr>
                <w:rFonts w:cs="Arial"/>
                <w:lang w:eastAsia="en-IE"/>
              </w:rPr>
            </w:pPr>
            <w:r w:rsidRPr="00B40734">
              <w:rPr>
                <w:rFonts w:cs="Arial"/>
                <w:lang w:eastAsia="en-IE"/>
              </w:rPr>
              <w:t>Heuston Station</w:t>
            </w:r>
          </w:p>
        </w:tc>
        <w:tc>
          <w:tcPr>
            <w:tcW w:w="1266" w:type="dxa"/>
            <w:noWrap/>
            <w:tcMar>
              <w:top w:w="0" w:type="dxa"/>
              <w:left w:w="108" w:type="dxa"/>
              <w:bottom w:w="0" w:type="dxa"/>
              <w:right w:w="108" w:type="dxa"/>
            </w:tcMar>
          </w:tcPr>
          <w:p w14:paraId="758DD90F" w14:textId="77777777" w:rsidR="00A238EE" w:rsidRPr="00720329" w:rsidRDefault="00A238EE" w:rsidP="00A238EE">
            <w:pPr>
              <w:jc w:val="center"/>
              <w:rPr>
                <w:rFonts w:cs="Arial"/>
                <w:lang w:eastAsia="en-IE"/>
              </w:rPr>
            </w:pPr>
            <w:r w:rsidRPr="00720329">
              <w:rPr>
                <w:rFonts w:cs="Arial"/>
                <w:lang w:eastAsia="en-IE"/>
              </w:rPr>
              <w:t>4</w:t>
            </w:r>
          </w:p>
        </w:tc>
        <w:tc>
          <w:tcPr>
            <w:tcW w:w="1569" w:type="dxa"/>
            <w:noWrap/>
            <w:tcMar>
              <w:top w:w="0" w:type="dxa"/>
              <w:left w:w="108" w:type="dxa"/>
              <w:bottom w:w="0" w:type="dxa"/>
              <w:right w:w="108" w:type="dxa"/>
            </w:tcMar>
          </w:tcPr>
          <w:p w14:paraId="5DCD121A" w14:textId="77777777" w:rsidR="00A238EE" w:rsidRPr="00720329" w:rsidRDefault="00A238EE" w:rsidP="00A238EE">
            <w:pPr>
              <w:jc w:val="center"/>
              <w:rPr>
                <w:rFonts w:cs="Arial"/>
                <w:lang w:eastAsia="en-IE"/>
              </w:rPr>
            </w:pPr>
            <w:r w:rsidRPr="00720329">
              <w:rPr>
                <w:rFonts w:cs="Arial"/>
                <w:lang w:eastAsia="en-IE"/>
              </w:rPr>
              <w:t>6</w:t>
            </w:r>
          </w:p>
        </w:tc>
        <w:tc>
          <w:tcPr>
            <w:tcW w:w="841" w:type="dxa"/>
            <w:noWrap/>
            <w:tcMar>
              <w:top w:w="0" w:type="dxa"/>
              <w:left w:w="108" w:type="dxa"/>
              <w:bottom w:w="0" w:type="dxa"/>
              <w:right w:w="108" w:type="dxa"/>
            </w:tcMar>
          </w:tcPr>
          <w:p w14:paraId="1F3C60D0" w14:textId="77777777" w:rsidR="00A238EE" w:rsidRPr="00720329" w:rsidRDefault="00A238EE" w:rsidP="00A238EE">
            <w:pPr>
              <w:jc w:val="center"/>
              <w:rPr>
                <w:rFonts w:cs="Arial"/>
                <w:lang w:eastAsia="en-IE"/>
              </w:rPr>
            </w:pPr>
            <w:r w:rsidRPr="00720329">
              <w:rPr>
                <w:rFonts w:cs="Arial"/>
                <w:lang w:eastAsia="en-IE"/>
              </w:rPr>
              <w:t>10</w:t>
            </w:r>
          </w:p>
        </w:tc>
      </w:tr>
      <w:tr w:rsidR="00A238EE" w:rsidRPr="00B40734" w14:paraId="6AA230DF" w14:textId="77777777" w:rsidTr="00A238EE">
        <w:trPr>
          <w:cantSplit/>
          <w:jc w:val="center"/>
        </w:trPr>
        <w:tc>
          <w:tcPr>
            <w:tcW w:w="2982" w:type="dxa"/>
            <w:noWrap/>
            <w:tcMar>
              <w:top w:w="0" w:type="dxa"/>
              <w:left w:w="108" w:type="dxa"/>
              <w:bottom w:w="0" w:type="dxa"/>
              <w:right w:w="108" w:type="dxa"/>
            </w:tcMar>
            <w:hideMark/>
          </w:tcPr>
          <w:p w14:paraId="3B19DDDC" w14:textId="77777777" w:rsidR="00A238EE" w:rsidRPr="00B40734" w:rsidRDefault="00A238EE" w:rsidP="00A238EE">
            <w:pPr>
              <w:rPr>
                <w:rFonts w:cs="Arial"/>
                <w:lang w:eastAsia="en-IE"/>
              </w:rPr>
            </w:pPr>
            <w:r w:rsidRPr="00B40734">
              <w:rPr>
                <w:rFonts w:cs="Arial"/>
                <w:lang w:eastAsia="en-IE"/>
              </w:rPr>
              <w:t>Liberties and Newmarket Square</w:t>
            </w:r>
          </w:p>
        </w:tc>
        <w:tc>
          <w:tcPr>
            <w:tcW w:w="1266" w:type="dxa"/>
            <w:noWrap/>
            <w:tcMar>
              <w:top w:w="0" w:type="dxa"/>
              <w:left w:w="108" w:type="dxa"/>
              <w:bottom w:w="0" w:type="dxa"/>
              <w:right w:w="108" w:type="dxa"/>
            </w:tcMar>
          </w:tcPr>
          <w:p w14:paraId="6A6111B1" w14:textId="77777777" w:rsidR="00A238EE" w:rsidRPr="00720329" w:rsidRDefault="00A238EE" w:rsidP="00A238EE">
            <w:pPr>
              <w:jc w:val="center"/>
              <w:rPr>
                <w:rFonts w:cs="Arial"/>
                <w:lang w:eastAsia="en-IE"/>
              </w:rPr>
            </w:pPr>
            <w:r w:rsidRPr="00720329">
              <w:rPr>
                <w:rFonts w:cs="Arial"/>
                <w:lang w:eastAsia="en-IE"/>
              </w:rPr>
              <w:t>8</w:t>
            </w:r>
          </w:p>
        </w:tc>
        <w:tc>
          <w:tcPr>
            <w:tcW w:w="1569" w:type="dxa"/>
            <w:noWrap/>
            <w:tcMar>
              <w:top w:w="0" w:type="dxa"/>
              <w:left w:w="108" w:type="dxa"/>
              <w:bottom w:w="0" w:type="dxa"/>
              <w:right w:w="108" w:type="dxa"/>
            </w:tcMar>
          </w:tcPr>
          <w:p w14:paraId="28F0AC29" w14:textId="77777777" w:rsidR="00A238EE" w:rsidRPr="00720329" w:rsidRDefault="00A238EE" w:rsidP="00A238EE">
            <w:pPr>
              <w:jc w:val="center"/>
              <w:rPr>
                <w:rFonts w:cs="Arial"/>
                <w:lang w:eastAsia="en-IE"/>
              </w:rPr>
            </w:pPr>
            <w:r w:rsidRPr="00720329">
              <w:rPr>
                <w:rFonts w:cs="Arial"/>
                <w:lang w:eastAsia="en-IE"/>
              </w:rPr>
              <w:t>51</w:t>
            </w:r>
          </w:p>
        </w:tc>
        <w:tc>
          <w:tcPr>
            <w:tcW w:w="841" w:type="dxa"/>
            <w:noWrap/>
            <w:tcMar>
              <w:top w:w="0" w:type="dxa"/>
              <w:left w:w="108" w:type="dxa"/>
              <w:bottom w:w="0" w:type="dxa"/>
              <w:right w:w="108" w:type="dxa"/>
            </w:tcMar>
          </w:tcPr>
          <w:p w14:paraId="34097A36" w14:textId="77777777" w:rsidR="00A238EE" w:rsidRPr="00720329" w:rsidRDefault="00A238EE" w:rsidP="00A238EE">
            <w:pPr>
              <w:jc w:val="center"/>
              <w:rPr>
                <w:rFonts w:cs="Arial"/>
                <w:lang w:eastAsia="en-IE"/>
              </w:rPr>
            </w:pPr>
            <w:r w:rsidRPr="00720329">
              <w:rPr>
                <w:rFonts w:cs="Arial"/>
                <w:lang w:eastAsia="en-IE"/>
              </w:rPr>
              <w:t>59</w:t>
            </w:r>
          </w:p>
        </w:tc>
      </w:tr>
      <w:tr w:rsidR="00A238EE" w:rsidRPr="00B40734" w14:paraId="18D9ED6B" w14:textId="77777777" w:rsidTr="00A238EE">
        <w:trPr>
          <w:cantSplit/>
          <w:jc w:val="center"/>
        </w:trPr>
        <w:tc>
          <w:tcPr>
            <w:tcW w:w="2982" w:type="dxa"/>
            <w:noWrap/>
            <w:tcMar>
              <w:top w:w="0" w:type="dxa"/>
              <w:left w:w="108" w:type="dxa"/>
              <w:bottom w:w="0" w:type="dxa"/>
              <w:right w:w="108" w:type="dxa"/>
            </w:tcMar>
            <w:hideMark/>
          </w:tcPr>
          <w:p w14:paraId="6B39D13F" w14:textId="77777777" w:rsidR="00A238EE" w:rsidRPr="00B40734" w:rsidRDefault="00A238EE" w:rsidP="00A238EE">
            <w:pPr>
              <w:rPr>
                <w:rFonts w:cs="Arial"/>
                <w:lang w:eastAsia="en-IE"/>
              </w:rPr>
            </w:pPr>
            <w:r w:rsidRPr="00B40734">
              <w:rPr>
                <w:rFonts w:cs="Arial"/>
                <w:lang w:eastAsia="en-IE"/>
              </w:rPr>
              <w:t>Markets Area</w:t>
            </w:r>
          </w:p>
        </w:tc>
        <w:tc>
          <w:tcPr>
            <w:tcW w:w="1266" w:type="dxa"/>
            <w:noWrap/>
            <w:tcMar>
              <w:top w:w="0" w:type="dxa"/>
              <w:left w:w="108" w:type="dxa"/>
              <w:bottom w:w="0" w:type="dxa"/>
              <w:right w:w="108" w:type="dxa"/>
            </w:tcMar>
          </w:tcPr>
          <w:p w14:paraId="241D4FDB" w14:textId="77777777" w:rsidR="00A238EE" w:rsidRPr="00720329" w:rsidRDefault="00A238EE" w:rsidP="00A238EE">
            <w:pPr>
              <w:jc w:val="center"/>
              <w:rPr>
                <w:rFonts w:cs="Arial"/>
                <w:lang w:eastAsia="en-IE"/>
              </w:rPr>
            </w:pPr>
            <w:r w:rsidRPr="00720329">
              <w:rPr>
                <w:rFonts w:cs="Arial"/>
                <w:lang w:eastAsia="en-IE"/>
              </w:rPr>
              <w:t>1</w:t>
            </w:r>
          </w:p>
        </w:tc>
        <w:tc>
          <w:tcPr>
            <w:tcW w:w="1569" w:type="dxa"/>
            <w:noWrap/>
            <w:tcMar>
              <w:top w:w="0" w:type="dxa"/>
              <w:left w:w="108" w:type="dxa"/>
              <w:bottom w:w="0" w:type="dxa"/>
              <w:right w:w="108" w:type="dxa"/>
            </w:tcMar>
          </w:tcPr>
          <w:p w14:paraId="138D42AD" w14:textId="77777777" w:rsidR="00A238EE" w:rsidRPr="00720329" w:rsidRDefault="00A238EE" w:rsidP="00A238EE">
            <w:pPr>
              <w:jc w:val="center"/>
              <w:rPr>
                <w:rFonts w:cs="Arial"/>
                <w:lang w:eastAsia="en-IE"/>
              </w:rPr>
            </w:pPr>
            <w:r w:rsidRPr="00720329">
              <w:rPr>
                <w:rFonts w:cs="Arial"/>
                <w:lang w:eastAsia="en-IE"/>
              </w:rPr>
              <w:t>5</w:t>
            </w:r>
          </w:p>
        </w:tc>
        <w:tc>
          <w:tcPr>
            <w:tcW w:w="841" w:type="dxa"/>
            <w:noWrap/>
            <w:tcMar>
              <w:top w:w="0" w:type="dxa"/>
              <w:left w:w="108" w:type="dxa"/>
              <w:bottom w:w="0" w:type="dxa"/>
              <w:right w:w="108" w:type="dxa"/>
            </w:tcMar>
          </w:tcPr>
          <w:p w14:paraId="2D43B094" w14:textId="77777777" w:rsidR="00A238EE" w:rsidRPr="00720329" w:rsidRDefault="00A238EE" w:rsidP="00A238EE">
            <w:pPr>
              <w:jc w:val="center"/>
              <w:rPr>
                <w:rFonts w:cs="Arial"/>
                <w:lang w:eastAsia="en-IE"/>
              </w:rPr>
            </w:pPr>
            <w:r w:rsidRPr="00720329">
              <w:rPr>
                <w:rFonts w:cs="Arial"/>
                <w:lang w:eastAsia="en-IE"/>
              </w:rPr>
              <w:t>6</w:t>
            </w:r>
          </w:p>
        </w:tc>
      </w:tr>
      <w:tr w:rsidR="00A238EE" w:rsidRPr="00B40734" w14:paraId="0F4BC1FD" w14:textId="77777777" w:rsidTr="00A238EE">
        <w:trPr>
          <w:cantSplit/>
          <w:jc w:val="center"/>
        </w:trPr>
        <w:tc>
          <w:tcPr>
            <w:tcW w:w="2982" w:type="dxa"/>
            <w:noWrap/>
            <w:tcMar>
              <w:top w:w="0" w:type="dxa"/>
              <w:left w:w="108" w:type="dxa"/>
              <w:bottom w:w="0" w:type="dxa"/>
              <w:right w:w="108" w:type="dxa"/>
            </w:tcMar>
            <w:hideMark/>
          </w:tcPr>
          <w:p w14:paraId="7B75D891" w14:textId="77777777" w:rsidR="00A238EE" w:rsidRPr="00B40734" w:rsidRDefault="00A238EE" w:rsidP="00A238EE">
            <w:pPr>
              <w:rPr>
                <w:rFonts w:cs="Arial"/>
                <w:lang w:eastAsia="en-IE"/>
              </w:rPr>
            </w:pPr>
            <w:r w:rsidRPr="00B40734">
              <w:rPr>
                <w:rFonts w:cs="Arial"/>
                <w:lang w:eastAsia="en-IE"/>
              </w:rPr>
              <w:t>Naas Road</w:t>
            </w:r>
          </w:p>
        </w:tc>
        <w:tc>
          <w:tcPr>
            <w:tcW w:w="1266" w:type="dxa"/>
            <w:noWrap/>
            <w:tcMar>
              <w:top w:w="0" w:type="dxa"/>
              <w:left w:w="108" w:type="dxa"/>
              <w:bottom w:w="0" w:type="dxa"/>
              <w:right w:w="108" w:type="dxa"/>
            </w:tcMar>
          </w:tcPr>
          <w:p w14:paraId="73022371" w14:textId="77777777" w:rsidR="00A238EE" w:rsidRPr="00720329" w:rsidRDefault="00A238EE" w:rsidP="00A238EE">
            <w:pPr>
              <w:jc w:val="center"/>
              <w:rPr>
                <w:rFonts w:cs="Arial"/>
                <w:lang w:eastAsia="en-IE"/>
              </w:rPr>
            </w:pPr>
            <w:r w:rsidRPr="00720329">
              <w:rPr>
                <w:rFonts w:cs="Arial"/>
                <w:lang w:eastAsia="en-IE"/>
              </w:rPr>
              <w:t>-</w:t>
            </w:r>
          </w:p>
        </w:tc>
        <w:tc>
          <w:tcPr>
            <w:tcW w:w="1569" w:type="dxa"/>
            <w:noWrap/>
            <w:tcMar>
              <w:top w:w="0" w:type="dxa"/>
              <w:left w:w="108" w:type="dxa"/>
              <w:bottom w:w="0" w:type="dxa"/>
              <w:right w:w="108" w:type="dxa"/>
            </w:tcMar>
          </w:tcPr>
          <w:p w14:paraId="34168E21" w14:textId="77777777" w:rsidR="00A238EE" w:rsidRPr="00720329" w:rsidRDefault="00A238EE" w:rsidP="00A238EE">
            <w:pPr>
              <w:jc w:val="center"/>
              <w:rPr>
                <w:rFonts w:cs="Arial"/>
                <w:lang w:eastAsia="en-IE"/>
              </w:rPr>
            </w:pPr>
            <w:r w:rsidRPr="00720329">
              <w:rPr>
                <w:rFonts w:cs="Arial"/>
                <w:lang w:eastAsia="en-IE"/>
              </w:rPr>
              <w:t>1</w:t>
            </w:r>
          </w:p>
        </w:tc>
        <w:tc>
          <w:tcPr>
            <w:tcW w:w="841" w:type="dxa"/>
            <w:noWrap/>
            <w:tcMar>
              <w:top w:w="0" w:type="dxa"/>
              <w:left w:w="108" w:type="dxa"/>
              <w:bottom w:w="0" w:type="dxa"/>
              <w:right w:w="108" w:type="dxa"/>
            </w:tcMar>
          </w:tcPr>
          <w:p w14:paraId="60574700" w14:textId="77777777" w:rsidR="00A238EE" w:rsidRPr="00720329" w:rsidRDefault="00A238EE" w:rsidP="00A238EE">
            <w:pPr>
              <w:jc w:val="center"/>
              <w:rPr>
                <w:rFonts w:cs="Arial"/>
                <w:lang w:eastAsia="en-IE"/>
              </w:rPr>
            </w:pPr>
            <w:r w:rsidRPr="00720329">
              <w:rPr>
                <w:rFonts w:cs="Arial"/>
                <w:lang w:eastAsia="en-IE"/>
              </w:rPr>
              <w:t>1</w:t>
            </w:r>
          </w:p>
        </w:tc>
      </w:tr>
      <w:tr w:rsidR="00A238EE" w:rsidRPr="00B40734" w14:paraId="37F9FE86" w14:textId="77777777" w:rsidTr="00A238EE">
        <w:trPr>
          <w:cantSplit/>
          <w:jc w:val="center"/>
        </w:trPr>
        <w:tc>
          <w:tcPr>
            <w:tcW w:w="2982" w:type="dxa"/>
            <w:noWrap/>
            <w:tcMar>
              <w:top w:w="0" w:type="dxa"/>
              <w:left w:w="108" w:type="dxa"/>
              <w:bottom w:w="0" w:type="dxa"/>
              <w:right w:w="108" w:type="dxa"/>
            </w:tcMar>
            <w:hideMark/>
          </w:tcPr>
          <w:p w14:paraId="685DCB78" w14:textId="77777777" w:rsidR="00A238EE" w:rsidRPr="00B40734" w:rsidRDefault="00A238EE" w:rsidP="00A238EE">
            <w:pPr>
              <w:rPr>
                <w:rFonts w:cs="Arial"/>
                <w:lang w:eastAsia="en-IE"/>
              </w:rPr>
            </w:pPr>
            <w:r w:rsidRPr="00B40734">
              <w:rPr>
                <w:rFonts w:cs="Arial"/>
                <w:lang w:eastAsia="en-IE"/>
              </w:rPr>
              <w:t>Northeast Inner City</w:t>
            </w:r>
          </w:p>
        </w:tc>
        <w:tc>
          <w:tcPr>
            <w:tcW w:w="1266" w:type="dxa"/>
            <w:noWrap/>
            <w:tcMar>
              <w:top w:w="0" w:type="dxa"/>
              <w:left w:w="108" w:type="dxa"/>
              <w:bottom w:w="0" w:type="dxa"/>
              <w:right w:w="108" w:type="dxa"/>
            </w:tcMar>
          </w:tcPr>
          <w:p w14:paraId="71539C26" w14:textId="77777777" w:rsidR="00A238EE" w:rsidRPr="00720329" w:rsidRDefault="00A238EE" w:rsidP="00A238EE">
            <w:pPr>
              <w:jc w:val="center"/>
              <w:rPr>
                <w:rFonts w:cs="Arial"/>
                <w:lang w:eastAsia="en-IE"/>
              </w:rPr>
            </w:pPr>
            <w:r w:rsidRPr="00720329">
              <w:rPr>
                <w:rFonts w:cs="Arial"/>
                <w:lang w:eastAsia="en-IE"/>
              </w:rPr>
              <w:t>12</w:t>
            </w:r>
          </w:p>
        </w:tc>
        <w:tc>
          <w:tcPr>
            <w:tcW w:w="1569" w:type="dxa"/>
            <w:noWrap/>
            <w:tcMar>
              <w:top w:w="0" w:type="dxa"/>
              <w:left w:w="108" w:type="dxa"/>
              <w:bottom w:w="0" w:type="dxa"/>
              <w:right w:w="108" w:type="dxa"/>
            </w:tcMar>
          </w:tcPr>
          <w:p w14:paraId="2F9A4AAD" w14:textId="77777777" w:rsidR="00A238EE" w:rsidRPr="00720329" w:rsidRDefault="00A238EE" w:rsidP="00A238EE">
            <w:pPr>
              <w:jc w:val="center"/>
              <w:rPr>
                <w:rFonts w:cs="Arial"/>
                <w:lang w:eastAsia="en-IE"/>
              </w:rPr>
            </w:pPr>
            <w:r w:rsidRPr="00720329">
              <w:rPr>
                <w:rFonts w:cs="Arial"/>
                <w:lang w:eastAsia="en-IE"/>
              </w:rPr>
              <w:t>50</w:t>
            </w:r>
          </w:p>
        </w:tc>
        <w:tc>
          <w:tcPr>
            <w:tcW w:w="841" w:type="dxa"/>
            <w:noWrap/>
            <w:tcMar>
              <w:top w:w="0" w:type="dxa"/>
              <w:left w:w="108" w:type="dxa"/>
              <w:bottom w:w="0" w:type="dxa"/>
              <w:right w:w="108" w:type="dxa"/>
            </w:tcMar>
          </w:tcPr>
          <w:p w14:paraId="4D2FA5D7" w14:textId="77777777" w:rsidR="00A238EE" w:rsidRPr="00720329" w:rsidRDefault="00A238EE" w:rsidP="00A238EE">
            <w:pPr>
              <w:jc w:val="center"/>
              <w:rPr>
                <w:rFonts w:cs="Arial"/>
                <w:lang w:eastAsia="en-IE"/>
              </w:rPr>
            </w:pPr>
            <w:r w:rsidRPr="00720329">
              <w:rPr>
                <w:rFonts w:cs="Arial"/>
                <w:lang w:eastAsia="en-IE"/>
              </w:rPr>
              <w:t>62</w:t>
            </w:r>
          </w:p>
        </w:tc>
      </w:tr>
      <w:tr w:rsidR="00A238EE" w:rsidRPr="00B40734" w14:paraId="0CE4FB91" w14:textId="77777777" w:rsidTr="00A238EE">
        <w:trPr>
          <w:cantSplit/>
          <w:jc w:val="center"/>
        </w:trPr>
        <w:tc>
          <w:tcPr>
            <w:tcW w:w="2982" w:type="dxa"/>
            <w:noWrap/>
            <w:tcMar>
              <w:top w:w="0" w:type="dxa"/>
              <w:left w:w="108" w:type="dxa"/>
              <w:bottom w:w="0" w:type="dxa"/>
              <w:right w:w="108" w:type="dxa"/>
            </w:tcMar>
            <w:hideMark/>
          </w:tcPr>
          <w:p w14:paraId="0CA63738" w14:textId="77777777" w:rsidR="00A238EE" w:rsidRPr="00B40734" w:rsidRDefault="00A238EE" w:rsidP="00A238EE">
            <w:pPr>
              <w:rPr>
                <w:rFonts w:cs="Arial"/>
                <w:lang w:eastAsia="en-IE"/>
              </w:rPr>
            </w:pPr>
            <w:r w:rsidRPr="00B40734">
              <w:rPr>
                <w:rFonts w:cs="Arial"/>
                <w:lang w:eastAsia="en-IE"/>
              </w:rPr>
              <w:t>Park West/Cherry Orchard</w:t>
            </w:r>
          </w:p>
        </w:tc>
        <w:tc>
          <w:tcPr>
            <w:tcW w:w="1266" w:type="dxa"/>
            <w:noWrap/>
            <w:tcMar>
              <w:top w:w="0" w:type="dxa"/>
              <w:left w:w="108" w:type="dxa"/>
              <w:bottom w:w="0" w:type="dxa"/>
              <w:right w:w="108" w:type="dxa"/>
            </w:tcMar>
          </w:tcPr>
          <w:p w14:paraId="5FA11F55" w14:textId="77777777" w:rsidR="00A238EE" w:rsidRPr="00720329" w:rsidRDefault="00A238EE" w:rsidP="00A238EE">
            <w:pPr>
              <w:jc w:val="center"/>
              <w:rPr>
                <w:rFonts w:cs="Arial"/>
                <w:lang w:eastAsia="en-IE"/>
              </w:rPr>
            </w:pPr>
            <w:r w:rsidRPr="00720329">
              <w:rPr>
                <w:rFonts w:cs="Arial"/>
                <w:lang w:eastAsia="en-IE"/>
              </w:rPr>
              <w:t>1</w:t>
            </w:r>
          </w:p>
        </w:tc>
        <w:tc>
          <w:tcPr>
            <w:tcW w:w="1569" w:type="dxa"/>
            <w:noWrap/>
            <w:tcMar>
              <w:top w:w="0" w:type="dxa"/>
              <w:left w:w="108" w:type="dxa"/>
              <w:bottom w:w="0" w:type="dxa"/>
              <w:right w:w="108" w:type="dxa"/>
            </w:tcMar>
          </w:tcPr>
          <w:p w14:paraId="433BDE5D" w14:textId="77777777" w:rsidR="00A238EE" w:rsidRPr="00720329" w:rsidRDefault="00A238EE" w:rsidP="00A238EE">
            <w:pPr>
              <w:jc w:val="center"/>
              <w:rPr>
                <w:rFonts w:cs="Arial"/>
                <w:lang w:eastAsia="en-IE"/>
              </w:rPr>
            </w:pPr>
            <w:r w:rsidRPr="00720329">
              <w:rPr>
                <w:rFonts w:cs="Arial"/>
                <w:lang w:eastAsia="en-IE"/>
              </w:rPr>
              <w:t>3</w:t>
            </w:r>
          </w:p>
        </w:tc>
        <w:tc>
          <w:tcPr>
            <w:tcW w:w="841" w:type="dxa"/>
            <w:noWrap/>
            <w:tcMar>
              <w:top w:w="0" w:type="dxa"/>
              <w:left w:w="108" w:type="dxa"/>
              <w:bottom w:w="0" w:type="dxa"/>
              <w:right w:w="108" w:type="dxa"/>
            </w:tcMar>
          </w:tcPr>
          <w:p w14:paraId="6ACE717F" w14:textId="77777777" w:rsidR="00A238EE" w:rsidRPr="00720329" w:rsidRDefault="00A238EE" w:rsidP="00A238EE">
            <w:pPr>
              <w:jc w:val="center"/>
              <w:rPr>
                <w:rFonts w:cs="Arial"/>
                <w:lang w:eastAsia="en-IE"/>
              </w:rPr>
            </w:pPr>
            <w:r w:rsidRPr="00720329">
              <w:rPr>
                <w:rFonts w:cs="Arial"/>
                <w:lang w:eastAsia="en-IE"/>
              </w:rPr>
              <w:t>4</w:t>
            </w:r>
          </w:p>
        </w:tc>
      </w:tr>
      <w:tr w:rsidR="00A238EE" w:rsidRPr="00B40734" w14:paraId="5E758A19" w14:textId="77777777" w:rsidTr="00A238EE">
        <w:trPr>
          <w:cantSplit/>
          <w:jc w:val="center"/>
        </w:trPr>
        <w:tc>
          <w:tcPr>
            <w:tcW w:w="2982" w:type="dxa"/>
            <w:noWrap/>
            <w:tcMar>
              <w:top w:w="0" w:type="dxa"/>
              <w:left w:w="108" w:type="dxa"/>
              <w:bottom w:w="0" w:type="dxa"/>
              <w:right w:w="108" w:type="dxa"/>
            </w:tcMar>
            <w:hideMark/>
          </w:tcPr>
          <w:p w14:paraId="4793A8D7" w14:textId="77777777" w:rsidR="00A238EE" w:rsidRPr="00B40734" w:rsidRDefault="00A238EE" w:rsidP="00A238EE">
            <w:pPr>
              <w:rPr>
                <w:rFonts w:cs="Arial"/>
                <w:lang w:eastAsia="en-IE"/>
              </w:rPr>
            </w:pPr>
            <w:r w:rsidRPr="00B40734">
              <w:rPr>
                <w:rFonts w:cs="Arial"/>
                <w:lang w:eastAsia="en-IE"/>
              </w:rPr>
              <w:t>St. James's Campus</w:t>
            </w:r>
          </w:p>
        </w:tc>
        <w:tc>
          <w:tcPr>
            <w:tcW w:w="1266" w:type="dxa"/>
            <w:noWrap/>
            <w:tcMar>
              <w:top w:w="0" w:type="dxa"/>
              <w:left w:w="108" w:type="dxa"/>
              <w:bottom w:w="0" w:type="dxa"/>
              <w:right w:w="108" w:type="dxa"/>
            </w:tcMar>
          </w:tcPr>
          <w:p w14:paraId="06C11EAB" w14:textId="77777777" w:rsidR="00A238EE" w:rsidRPr="00720329" w:rsidRDefault="00A238EE" w:rsidP="00A238EE">
            <w:pPr>
              <w:jc w:val="center"/>
              <w:rPr>
                <w:rFonts w:cs="Arial"/>
                <w:lang w:eastAsia="en-IE"/>
              </w:rPr>
            </w:pPr>
            <w:r w:rsidRPr="00720329">
              <w:rPr>
                <w:rFonts w:cs="Arial"/>
                <w:lang w:eastAsia="en-IE"/>
              </w:rPr>
              <w:t>-</w:t>
            </w:r>
          </w:p>
        </w:tc>
        <w:tc>
          <w:tcPr>
            <w:tcW w:w="1569" w:type="dxa"/>
            <w:noWrap/>
            <w:tcMar>
              <w:top w:w="0" w:type="dxa"/>
              <w:left w:w="108" w:type="dxa"/>
              <w:bottom w:w="0" w:type="dxa"/>
              <w:right w:w="108" w:type="dxa"/>
            </w:tcMar>
          </w:tcPr>
          <w:p w14:paraId="39C24270" w14:textId="77777777" w:rsidR="00A238EE" w:rsidRPr="00720329" w:rsidRDefault="00A238EE" w:rsidP="00A238EE">
            <w:pPr>
              <w:jc w:val="center"/>
              <w:rPr>
                <w:rFonts w:cs="Arial"/>
                <w:lang w:eastAsia="en-IE"/>
              </w:rPr>
            </w:pPr>
            <w:r w:rsidRPr="00720329">
              <w:rPr>
                <w:rFonts w:cs="Arial"/>
                <w:lang w:eastAsia="en-IE"/>
              </w:rPr>
              <w:t>1</w:t>
            </w:r>
          </w:p>
        </w:tc>
        <w:tc>
          <w:tcPr>
            <w:tcW w:w="841" w:type="dxa"/>
            <w:noWrap/>
            <w:tcMar>
              <w:top w:w="0" w:type="dxa"/>
              <w:left w:w="108" w:type="dxa"/>
              <w:bottom w:w="0" w:type="dxa"/>
              <w:right w:w="108" w:type="dxa"/>
            </w:tcMar>
          </w:tcPr>
          <w:p w14:paraId="6C7BA4FE" w14:textId="77777777" w:rsidR="00A238EE" w:rsidRPr="00720329" w:rsidRDefault="00A238EE" w:rsidP="00A238EE">
            <w:pPr>
              <w:jc w:val="center"/>
              <w:rPr>
                <w:rFonts w:cs="Arial"/>
                <w:lang w:eastAsia="en-IE"/>
              </w:rPr>
            </w:pPr>
            <w:r w:rsidRPr="00720329">
              <w:rPr>
                <w:rFonts w:cs="Arial"/>
                <w:lang w:eastAsia="en-IE"/>
              </w:rPr>
              <w:t>1</w:t>
            </w:r>
          </w:p>
        </w:tc>
      </w:tr>
      <w:tr w:rsidR="00A238EE" w:rsidRPr="00B40734" w14:paraId="73FFAA40" w14:textId="77777777" w:rsidTr="00A238EE">
        <w:trPr>
          <w:cantSplit/>
          <w:jc w:val="center"/>
        </w:trPr>
        <w:tc>
          <w:tcPr>
            <w:tcW w:w="2982" w:type="dxa"/>
            <w:noWrap/>
            <w:tcMar>
              <w:top w:w="0" w:type="dxa"/>
              <w:left w:w="108" w:type="dxa"/>
              <w:bottom w:w="0" w:type="dxa"/>
              <w:right w:w="108" w:type="dxa"/>
            </w:tcMar>
          </w:tcPr>
          <w:p w14:paraId="5E3FDB97" w14:textId="77777777" w:rsidR="00A238EE" w:rsidRPr="00B40734" w:rsidRDefault="00A238EE" w:rsidP="00A238EE">
            <w:pPr>
              <w:rPr>
                <w:rFonts w:cs="Arial"/>
                <w:lang w:eastAsia="en-IE"/>
              </w:rPr>
            </w:pPr>
            <w:r>
              <w:rPr>
                <w:rFonts w:cs="Arial"/>
                <w:lang w:eastAsia="en-IE"/>
              </w:rPr>
              <w:t>Dolphin House</w:t>
            </w:r>
          </w:p>
        </w:tc>
        <w:tc>
          <w:tcPr>
            <w:tcW w:w="1266" w:type="dxa"/>
            <w:noWrap/>
            <w:tcMar>
              <w:top w:w="0" w:type="dxa"/>
              <w:left w:w="108" w:type="dxa"/>
              <w:bottom w:w="0" w:type="dxa"/>
              <w:right w:w="108" w:type="dxa"/>
            </w:tcMar>
          </w:tcPr>
          <w:p w14:paraId="52D80905" w14:textId="77777777" w:rsidR="00A238EE" w:rsidRPr="00720329" w:rsidRDefault="00A238EE" w:rsidP="00A238EE">
            <w:pPr>
              <w:jc w:val="center"/>
              <w:rPr>
                <w:rFonts w:cs="Arial"/>
                <w:lang w:eastAsia="en-IE"/>
              </w:rPr>
            </w:pPr>
            <w:r w:rsidRPr="00720329">
              <w:rPr>
                <w:rFonts w:cs="Arial"/>
                <w:lang w:eastAsia="en-IE"/>
              </w:rPr>
              <w:t>1</w:t>
            </w:r>
          </w:p>
        </w:tc>
        <w:tc>
          <w:tcPr>
            <w:tcW w:w="1569" w:type="dxa"/>
            <w:noWrap/>
            <w:tcMar>
              <w:top w:w="0" w:type="dxa"/>
              <w:left w:w="108" w:type="dxa"/>
              <w:bottom w:w="0" w:type="dxa"/>
              <w:right w:w="108" w:type="dxa"/>
            </w:tcMar>
          </w:tcPr>
          <w:p w14:paraId="44DEE480" w14:textId="77777777" w:rsidR="00A238EE" w:rsidRPr="00720329" w:rsidRDefault="00A238EE" w:rsidP="00A238EE">
            <w:pPr>
              <w:jc w:val="center"/>
              <w:rPr>
                <w:rFonts w:cs="Arial"/>
                <w:lang w:eastAsia="en-IE"/>
              </w:rPr>
            </w:pPr>
            <w:r w:rsidRPr="00720329">
              <w:rPr>
                <w:rFonts w:cs="Arial"/>
                <w:lang w:eastAsia="en-IE"/>
              </w:rPr>
              <w:t>2</w:t>
            </w:r>
          </w:p>
        </w:tc>
        <w:tc>
          <w:tcPr>
            <w:tcW w:w="841" w:type="dxa"/>
            <w:noWrap/>
            <w:tcMar>
              <w:top w:w="0" w:type="dxa"/>
              <w:left w:w="108" w:type="dxa"/>
              <w:bottom w:w="0" w:type="dxa"/>
              <w:right w:w="108" w:type="dxa"/>
            </w:tcMar>
          </w:tcPr>
          <w:p w14:paraId="35F0DA9E" w14:textId="77777777" w:rsidR="00A238EE" w:rsidRPr="00720329" w:rsidRDefault="00A238EE" w:rsidP="00A238EE">
            <w:pPr>
              <w:jc w:val="center"/>
              <w:rPr>
                <w:rFonts w:cs="Arial"/>
                <w:lang w:eastAsia="en-IE"/>
              </w:rPr>
            </w:pPr>
            <w:r w:rsidRPr="00720329">
              <w:rPr>
                <w:rFonts w:cs="Arial"/>
                <w:lang w:eastAsia="en-IE"/>
              </w:rPr>
              <w:t>3</w:t>
            </w:r>
          </w:p>
        </w:tc>
      </w:tr>
      <w:tr w:rsidR="00A238EE" w:rsidRPr="00B40734" w14:paraId="68535955" w14:textId="77777777" w:rsidTr="00A238EE">
        <w:trPr>
          <w:cantSplit/>
          <w:jc w:val="center"/>
        </w:trPr>
        <w:tc>
          <w:tcPr>
            <w:tcW w:w="2982" w:type="dxa"/>
            <w:noWrap/>
            <w:tcMar>
              <w:top w:w="0" w:type="dxa"/>
              <w:left w:w="108" w:type="dxa"/>
              <w:bottom w:w="0" w:type="dxa"/>
              <w:right w:w="108" w:type="dxa"/>
            </w:tcMar>
            <w:hideMark/>
          </w:tcPr>
          <w:p w14:paraId="323344B3" w14:textId="77777777" w:rsidR="00A238EE" w:rsidRPr="00B40734" w:rsidRDefault="00A238EE" w:rsidP="00A238EE">
            <w:pPr>
              <w:rPr>
                <w:rFonts w:cs="Arial"/>
                <w:b/>
                <w:bCs/>
                <w:lang w:eastAsia="en-IE"/>
              </w:rPr>
            </w:pPr>
            <w:r w:rsidRPr="00B40734">
              <w:rPr>
                <w:rFonts w:cs="Arial"/>
                <w:b/>
                <w:bCs/>
                <w:lang w:eastAsia="en-IE"/>
              </w:rPr>
              <w:t>Total</w:t>
            </w:r>
          </w:p>
        </w:tc>
        <w:tc>
          <w:tcPr>
            <w:tcW w:w="1266" w:type="dxa"/>
            <w:noWrap/>
            <w:tcMar>
              <w:top w:w="0" w:type="dxa"/>
              <w:left w:w="108" w:type="dxa"/>
              <w:bottom w:w="0" w:type="dxa"/>
              <w:right w:w="108" w:type="dxa"/>
            </w:tcMar>
          </w:tcPr>
          <w:p w14:paraId="73DF4CC8" w14:textId="77777777" w:rsidR="00A238EE" w:rsidRPr="00720329" w:rsidRDefault="00A238EE" w:rsidP="00A238EE">
            <w:pPr>
              <w:jc w:val="center"/>
              <w:rPr>
                <w:rFonts w:cs="Arial"/>
                <w:b/>
                <w:bCs/>
                <w:lang w:eastAsia="en-IE"/>
              </w:rPr>
            </w:pPr>
            <w:r w:rsidRPr="00720329">
              <w:rPr>
                <w:rFonts w:cs="Arial"/>
                <w:b/>
                <w:bCs/>
                <w:lang w:eastAsia="en-IE"/>
              </w:rPr>
              <w:t>88</w:t>
            </w:r>
          </w:p>
        </w:tc>
        <w:tc>
          <w:tcPr>
            <w:tcW w:w="1569" w:type="dxa"/>
            <w:noWrap/>
            <w:tcMar>
              <w:top w:w="0" w:type="dxa"/>
              <w:left w:w="108" w:type="dxa"/>
              <w:bottom w:w="0" w:type="dxa"/>
              <w:right w:w="108" w:type="dxa"/>
            </w:tcMar>
          </w:tcPr>
          <w:p w14:paraId="589198FA" w14:textId="77777777" w:rsidR="00A238EE" w:rsidRPr="00720329" w:rsidRDefault="00A238EE" w:rsidP="00A238EE">
            <w:pPr>
              <w:jc w:val="center"/>
              <w:rPr>
                <w:rFonts w:cs="Arial"/>
                <w:b/>
                <w:bCs/>
                <w:lang w:eastAsia="en-IE"/>
              </w:rPr>
            </w:pPr>
            <w:r w:rsidRPr="00720329">
              <w:rPr>
                <w:rFonts w:cs="Arial"/>
                <w:b/>
                <w:bCs/>
                <w:lang w:eastAsia="en-IE"/>
              </w:rPr>
              <w:t>244</w:t>
            </w:r>
          </w:p>
        </w:tc>
        <w:tc>
          <w:tcPr>
            <w:tcW w:w="841" w:type="dxa"/>
            <w:noWrap/>
            <w:tcMar>
              <w:top w:w="0" w:type="dxa"/>
              <w:left w:w="108" w:type="dxa"/>
              <w:bottom w:w="0" w:type="dxa"/>
              <w:right w:w="108" w:type="dxa"/>
            </w:tcMar>
          </w:tcPr>
          <w:p w14:paraId="64A6A6A1" w14:textId="77777777" w:rsidR="00A238EE" w:rsidRPr="00720329" w:rsidRDefault="00A238EE" w:rsidP="00A238EE">
            <w:pPr>
              <w:jc w:val="center"/>
              <w:rPr>
                <w:rFonts w:cs="Arial"/>
                <w:b/>
                <w:bCs/>
                <w:lang w:eastAsia="en-IE"/>
              </w:rPr>
            </w:pPr>
            <w:r w:rsidRPr="00720329">
              <w:rPr>
                <w:rFonts w:cs="Arial"/>
                <w:b/>
                <w:bCs/>
                <w:lang w:eastAsia="en-IE"/>
              </w:rPr>
              <w:t>332</w:t>
            </w:r>
          </w:p>
        </w:tc>
      </w:tr>
    </w:tbl>
    <w:p w14:paraId="609712D4" w14:textId="77777777" w:rsidR="00A238EE" w:rsidRDefault="00A238EE" w:rsidP="00A238EE">
      <w:pPr>
        <w:spacing w:before="60" w:after="60"/>
        <w:ind w:left="720"/>
        <w:contextualSpacing/>
        <w:rPr>
          <w:rFonts w:cs="Arial"/>
        </w:rPr>
      </w:pPr>
    </w:p>
    <w:p w14:paraId="148FD1FE" w14:textId="77777777" w:rsidR="00CE1455" w:rsidRDefault="00CE1455" w:rsidP="00A238EE">
      <w:pPr>
        <w:spacing w:before="60" w:after="60"/>
        <w:ind w:left="720"/>
        <w:contextualSpacing/>
        <w:rPr>
          <w:rFonts w:cs="Arial"/>
        </w:rPr>
      </w:pPr>
    </w:p>
    <w:p w14:paraId="49B5A58A" w14:textId="77777777" w:rsidR="00CE1455" w:rsidRDefault="00CE1455" w:rsidP="00A238EE">
      <w:pPr>
        <w:spacing w:before="60" w:after="60"/>
        <w:ind w:left="720"/>
        <w:contextualSpacing/>
        <w:rPr>
          <w:rFonts w:cs="Arial"/>
        </w:rPr>
      </w:pPr>
    </w:p>
    <w:p w14:paraId="04F3C47B" w14:textId="77777777" w:rsidR="00CE1455" w:rsidRDefault="00CE1455" w:rsidP="00A238EE">
      <w:pPr>
        <w:spacing w:before="60" w:after="60"/>
        <w:ind w:left="720"/>
        <w:contextualSpacing/>
        <w:rPr>
          <w:rFonts w:cs="Arial"/>
        </w:rPr>
      </w:pPr>
    </w:p>
    <w:p w14:paraId="2920103E" w14:textId="77777777" w:rsidR="00CE1455" w:rsidRDefault="00CE1455" w:rsidP="00A238EE">
      <w:pPr>
        <w:spacing w:before="60" w:after="60"/>
        <w:ind w:left="720"/>
        <w:contextualSpacing/>
        <w:rPr>
          <w:rFonts w:cs="Arial"/>
        </w:rPr>
      </w:pPr>
    </w:p>
    <w:p w14:paraId="2157E703" w14:textId="77777777" w:rsidR="00CE1455" w:rsidRPr="00B40734" w:rsidRDefault="00CE1455" w:rsidP="00A238EE">
      <w:pPr>
        <w:spacing w:before="60" w:after="60"/>
        <w:ind w:left="720"/>
        <w:contextualSpacing/>
        <w:rPr>
          <w:rFonts w:cs="Arial"/>
        </w:rPr>
      </w:pPr>
    </w:p>
    <w:p w14:paraId="1EBA4003" w14:textId="77777777" w:rsidR="00A238EE" w:rsidRPr="00B40734" w:rsidRDefault="00A238EE" w:rsidP="00A238EE">
      <w:pPr>
        <w:numPr>
          <w:ilvl w:val="0"/>
          <w:numId w:val="3"/>
        </w:numPr>
        <w:spacing w:before="60" w:after="60"/>
        <w:contextualSpacing/>
        <w:rPr>
          <w:rFonts w:cs="Arial"/>
          <w:i/>
        </w:rPr>
      </w:pPr>
      <w:r w:rsidRPr="00B40734">
        <w:rPr>
          <w:rFonts w:cs="Arial"/>
          <w:i/>
        </w:rPr>
        <w:lastRenderedPageBreak/>
        <w:t xml:space="preserve">Planning permissions granted for: </w:t>
      </w:r>
    </w:p>
    <w:p w14:paraId="6A366344" w14:textId="77777777" w:rsidR="00A238EE" w:rsidRPr="00B40734" w:rsidRDefault="00A238EE" w:rsidP="00A238EE">
      <w:pPr>
        <w:numPr>
          <w:ilvl w:val="1"/>
          <w:numId w:val="3"/>
        </w:numPr>
        <w:spacing w:before="60" w:after="60"/>
        <w:contextualSpacing/>
        <w:rPr>
          <w:rFonts w:cs="Arial"/>
          <w:i/>
        </w:rPr>
      </w:pPr>
      <w:r w:rsidRPr="00B40734">
        <w:rPr>
          <w:rFonts w:cs="Arial"/>
          <w:i/>
        </w:rPr>
        <w:t>Residential development</w:t>
      </w:r>
    </w:p>
    <w:p w14:paraId="438B200A" w14:textId="77777777" w:rsidR="00A238EE" w:rsidRPr="00B40734" w:rsidRDefault="00A238EE" w:rsidP="00A238EE">
      <w:pPr>
        <w:numPr>
          <w:ilvl w:val="1"/>
          <w:numId w:val="3"/>
        </w:numPr>
        <w:spacing w:before="60" w:after="60"/>
        <w:contextualSpacing/>
        <w:rPr>
          <w:rFonts w:cs="Arial"/>
          <w:i/>
        </w:rPr>
      </w:pPr>
      <w:r w:rsidRPr="00B40734">
        <w:rPr>
          <w:rFonts w:cs="Arial"/>
          <w:i/>
        </w:rPr>
        <w:t>Office/retail/commercial development (sq. m.)</w:t>
      </w:r>
    </w:p>
    <w:p w14:paraId="4B58EE88" w14:textId="77777777" w:rsidR="00A238EE" w:rsidRPr="00B40734" w:rsidRDefault="00A238EE" w:rsidP="00A238EE">
      <w:pPr>
        <w:spacing w:before="60" w:after="60"/>
        <w:contextualSpacing/>
        <w:rPr>
          <w:rFonts w:cs="Arial"/>
        </w:rPr>
      </w:pPr>
    </w:p>
    <w:p w14:paraId="2DC3BB83" w14:textId="3C9DA7A6" w:rsidR="00A238EE" w:rsidRPr="00B40734" w:rsidRDefault="00A238EE" w:rsidP="00A238EE">
      <w:pPr>
        <w:spacing w:before="60" w:after="60"/>
        <w:jc w:val="left"/>
        <w:rPr>
          <w:rFonts w:cs="Arial"/>
        </w:rPr>
      </w:pPr>
      <w:r w:rsidRPr="00B40734">
        <w:rPr>
          <w:rFonts w:cs="Arial"/>
        </w:rPr>
        <w:t xml:space="preserve">Tables </w:t>
      </w:r>
      <w:r w:rsidR="008D7A68">
        <w:rPr>
          <w:rFonts w:cs="Arial"/>
        </w:rPr>
        <w:t>6</w:t>
      </w:r>
      <w:r w:rsidR="001951E8">
        <w:rPr>
          <w:rFonts w:cs="Arial"/>
        </w:rPr>
        <w:t xml:space="preserve"> </w:t>
      </w:r>
      <w:r w:rsidR="0077582A">
        <w:rPr>
          <w:rFonts w:cs="Arial"/>
        </w:rPr>
        <w:t>to</w:t>
      </w:r>
      <w:r w:rsidR="001951E8">
        <w:rPr>
          <w:rFonts w:cs="Arial"/>
        </w:rPr>
        <w:t xml:space="preserve"> </w:t>
      </w:r>
      <w:r w:rsidR="008D7A68">
        <w:rPr>
          <w:rFonts w:cs="Arial"/>
        </w:rPr>
        <w:t>9</w:t>
      </w:r>
      <w:r w:rsidRPr="00B40734">
        <w:rPr>
          <w:rFonts w:cs="Arial"/>
        </w:rPr>
        <w:t xml:space="preserve"> </w:t>
      </w:r>
      <w:r w:rsidR="0077582A">
        <w:rPr>
          <w:rFonts w:cs="Arial"/>
        </w:rPr>
        <w:t xml:space="preserve">hereunder </w:t>
      </w:r>
      <w:r w:rsidRPr="00B40734">
        <w:rPr>
          <w:rFonts w:cs="Arial"/>
        </w:rPr>
        <w:t>contain the relevant statistics for planning permissions granted in the SDRAs.</w:t>
      </w:r>
    </w:p>
    <w:p w14:paraId="48FD5DD7" w14:textId="77777777" w:rsidR="00A238EE" w:rsidRDefault="00A238EE" w:rsidP="00A238EE"/>
    <w:p w14:paraId="02F19E2F" w14:textId="77777777" w:rsidR="00336E32" w:rsidRDefault="00336E32" w:rsidP="00A238EE"/>
    <w:p w14:paraId="7538C2BB" w14:textId="77777777" w:rsidR="00336E32" w:rsidRDefault="00336E32" w:rsidP="00A238EE"/>
    <w:p w14:paraId="65F8F1DA" w14:textId="77777777" w:rsidR="00336E32" w:rsidRDefault="00336E32" w:rsidP="00A238EE"/>
    <w:p w14:paraId="5E2D6ED4" w14:textId="77777777" w:rsidR="00336E32" w:rsidRDefault="00336E32" w:rsidP="00A238EE"/>
    <w:p w14:paraId="31AE12C9" w14:textId="77777777" w:rsidR="00336E32" w:rsidRDefault="00336E32" w:rsidP="00A238EE"/>
    <w:p w14:paraId="72E92232" w14:textId="77777777" w:rsidR="00336E32" w:rsidRDefault="00336E32" w:rsidP="00A238EE"/>
    <w:p w14:paraId="55BA9D41" w14:textId="77777777" w:rsidR="00336E32" w:rsidRDefault="00336E32" w:rsidP="00A238EE"/>
    <w:p w14:paraId="5FA143D1" w14:textId="77777777" w:rsidR="00336E32" w:rsidRDefault="00336E32" w:rsidP="00A238EE"/>
    <w:p w14:paraId="33487AF2" w14:textId="77777777" w:rsidR="00336E32" w:rsidRDefault="00336E32" w:rsidP="00A238EE"/>
    <w:p w14:paraId="2B9F010B" w14:textId="77777777" w:rsidR="00336E32" w:rsidRDefault="00336E32" w:rsidP="00A238EE"/>
    <w:p w14:paraId="78208C52" w14:textId="77777777" w:rsidR="00336E32" w:rsidRDefault="00336E32" w:rsidP="00A238EE"/>
    <w:p w14:paraId="1B51D91A" w14:textId="77777777" w:rsidR="00336E32" w:rsidRDefault="00336E32" w:rsidP="00A238EE"/>
    <w:p w14:paraId="102C4ABF" w14:textId="77777777" w:rsidR="00336E32" w:rsidRDefault="00336E32" w:rsidP="00A238EE"/>
    <w:p w14:paraId="64B11B76" w14:textId="77777777" w:rsidR="00336E32" w:rsidRDefault="00336E32" w:rsidP="00A238EE"/>
    <w:p w14:paraId="28219ED4" w14:textId="77777777" w:rsidR="00336E32" w:rsidRDefault="00336E32" w:rsidP="00A238EE"/>
    <w:p w14:paraId="0E3D3A6B" w14:textId="77777777" w:rsidR="00336E32" w:rsidRDefault="00336E32" w:rsidP="00A238EE"/>
    <w:p w14:paraId="58CFFB8F" w14:textId="77777777" w:rsidR="00336E32" w:rsidRDefault="00336E32" w:rsidP="00A238EE"/>
    <w:p w14:paraId="3FAB61FB" w14:textId="77777777" w:rsidR="00336E32" w:rsidRDefault="00336E32" w:rsidP="00A238EE"/>
    <w:p w14:paraId="3E791521" w14:textId="77777777" w:rsidR="00336E32" w:rsidRDefault="00336E32" w:rsidP="00A238EE"/>
    <w:p w14:paraId="19FDC882" w14:textId="77777777" w:rsidR="00336E32" w:rsidRDefault="00336E32" w:rsidP="00A238EE"/>
    <w:p w14:paraId="55976ECB" w14:textId="77777777" w:rsidR="00336E32" w:rsidRDefault="00336E32" w:rsidP="00A238EE"/>
    <w:p w14:paraId="46C78AD7" w14:textId="77777777" w:rsidR="00336E32" w:rsidRPr="00B40734" w:rsidRDefault="00336E32" w:rsidP="00A238EE"/>
    <w:p w14:paraId="6C3CD59B" w14:textId="06449126" w:rsidR="00A238EE" w:rsidRPr="00B40734" w:rsidRDefault="00A238EE" w:rsidP="004700E7">
      <w:pPr>
        <w:keepNext/>
        <w:spacing w:after="200" w:line="276" w:lineRule="auto"/>
        <w:contextualSpacing/>
        <w:jc w:val="center"/>
        <w:rPr>
          <w:rFonts w:eastAsia="Calibri" w:cstheme="minorHAnsi"/>
          <w:b/>
          <w:bCs/>
          <w:szCs w:val="16"/>
        </w:rPr>
      </w:pPr>
      <w:bookmarkStart w:id="13" w:name="_Ref178849817"/>
      <w:bookmarkStart w:id="14" w:name="_Toc180059281"/>
      <w:bookmarkStart w:id="15" w:name="_Toc178675187"/>
      <w:bookmarkStart w:id="16" w:name="_Toc178675402"/>
      <w:bookmarkStart w:id="17" w:name="_Toc178675509"/>
      <w:r w:rsidRPr="00B40734">
        <w:rPr>
          <w:rFonts w:eastAsia="Calibri" w:cstheme="minorHAnsi"/>
          <w:b/>
          <w:bCs/>
          <w:szCs w:val="16"/>
        </w:rPr>
        <w:t>Table</w:t>
      </w:r>
      <w:bookmarkEnd w:id="13"/>
      <w:r w:rsidRPr="00B40734">
        <w:rPr>
          <w:rFonts w:eastAsia="Calibri" w:cstheme="minorHAnsi"/>
          <w:b/>
          <w:bCs/>
          <w:szCs w:val="16"/>
        </w:rPr>
        <w:t xml:space="preserve"> </w:t>
      </w:r>
      <w:r w:rsidR="00DC4656">
        <w:rPr>
          <w:rFonts w:eastAsia="Calibri" w:cstheme="minorHAnsi"/>
          <w:b/>
          <w:bCs/>
          <w:szCs w:val="16"/>
        </w:rPr>
        <w:t>6</w:t>
      </w:r>
      <w:r w:rsidRPr="00B40734">
        <w:rPr>
          <w:rFonts w:eastAsia="Calibri" w:cstheme="minorHAnsi"/>
          <w:b/>
          <w:bCs/>
          <w:szCs w:val="16"/>
        </w:rPr>
        <w:t>: Residential Development: Grants of permission per SDRA, 202</w:t>
      </w:r>
      <w:bookmarkEnd w:id="14"/>
      <w:r w:rsidRPr="00B40734">
        <w:rPr>
          <w:rFonts w:eastAsia="Calibri" w:cstheme="minorHAnsi"/>
          <w:b/>
          <w:bCs/>
          <w:szCs w:val="16"/>
        </w:rPr>
        <w:t>4</w:t>
      </w:r>
      <w:bookmarkEnd w:id="15"/>
      <w:bookmarkEnd w:id="16"/>
      <w:bookmarkEnd w:id="17"/>
      <w:r w:rsidR="00664372">
        <w:rPr>
          <w:rFonts w:eastAsia="Calibri" w:cstheme="minorHAnsi"/>
          <w:b/>
          <w:bCs/>
          <w:szCs w:val="16"/>
        </w:rPr>
        <w:t xml:space="preserve">. </w:t>
      </w:r>
      <w:r w:rsidRPr="00664372">
        <w:rPr>
          <w:rFonts w:eastAsia="Calibri" w:cstheme="minorHAnsi"/>
          <w:szCs w:val="16"/>
        </w:rPr>
        <w:t>Note: includes mixed-use applications.</w:t>
      </w:r>
    </w:p>
    <w:p w14:paraId="1059B09F" w14:textId="5BD973CA" w:rsidR="004700E7" w:rsidRDefault="00AC4A42" w:rsidP="004700E7">
      <w:pPr>
        <w:keepNext/>
        <w:spacing w:after="200" w:line="276" w:lineRule="auto"/>
        <w:contextualSpacing/>
        <w:jc w:val="center"/>
        <w:rPr>
          <w:rFonts w:cs="Arial"/>
        </w:rPr>
      </w:pPr>
      <w:r w:rsidRPr="005A4BC4">
        <w:rPr>
          <w:rFonts w:cs="Arial"/>
        </w:rPr>
        <w:t>(Source: DCC Planning Department</w:t>
      </w:r>
      <w:r>
        <w:rPr>
          <w:rFonts w:cs="Arial"/>
        </w:rPr>
        <w:t xml:space="preserve"> – APAS system query</w:t>
      </w:r>
      <w:r w:rsidRPr="005A4BC4">
        <w:rPr>
          <w:rFonts w:cs="Arial"/>
        </w:rPr>
        <w:t>)</w:t>
      </w:r>
    </w:p>
    <w:p w14:paraId="51021B93" w14:textId="77777777" w:rsidR="004700E7" w:rsidRPr="004700E7" w:rsidRDefault="004700E7" w:rsidP="004700E7">
      <w:pPr>
        <w:keepNext/>
        <w:spacing w:after="200" w:line="276" w:lineRule="auto"/>
        <w:contextualSpacing/>
        <w:jc w:val="center"/>
        <w:rPr>
          <w:rFonts w:cs="Arial"/>
        </w:rPr>
      </w:pPr>
    </w:p>
    <w:tbl>
      <w:tblPr>
        <w:tblW w:w="609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49"/>
        <w:gridCol w:w="2542"/>
      </w:tblGrid>
      <w:tr w:rsidR="00A238EE" w:rsidRPr="00B40734" w14:paraId="609692E8" w14:textId="77777777" w:rsidTr="00A238EE">
        <w:trPr>
          <w:cantSplit/>
          <w:tblHeader/>
          <w:jc w:val="center"/>
        </w:trPr>
        <w:tc>
          <w:tcPr>
            <w:tcW w:w="3549" w:type="dxa"/>
            <w:noWrap/>
            <w:tcMar>
              <w:top w:w="0" w:type="dxa"/>
              <w:left w:w="108" w:type="dxa"/>
              <w:bottom w:w="0" w:type="dxa"/>
              <w:right w:w="108" w:type="dxa"/>
            </w:tcMar>
            <w:hideMark/>
          </w:tcPr>
          <w:p w14:paraId="283D1E83" w14:textId="77777777" w:rsidR="00A238EE" w:rsidRPr="00B40734" w:rsidRDefault="00A238EE" w:rsidP="00A238EE">
            <w:pPr>
              <w:jc w:val="center"/>
              <w:rPr>
                <w:rFonts w:cs="Arial"/>
                <w:b/>
                <w:bCs/>
                <w:lang w:eastAsia="en-IE"/>
              </w:rPr>
            </w:pPr>
            <w:r w:rsidRPr="00B40734">
              <w:rPr>
                <w:rFonts w:cs="Arial"/>
                <w:b/>
                <w:bCs/>
                <w:lang w:eastAsia="en-IE"/>
              </w:rPr>
              <w:t>SDRA</w:t>
            </w:r>
          </w:p>
        </w:tc>
        <w:tc>
          <w:tcPr>
            <w:tcW w:w="2542" w:type="dxa"/>
            <w:noWrap/>
            <w:tcMar>
              <w:top w:w="0" w:type="dxa"/>
              <w:left w:w="108" w:type="dxa"/>
              <w:bottom w:w="0" w:type="dxa"/>
              <w:right w:w="108" w:type="dxa"/>
            </w:tcMar>
          </w:tcPr>
          <w:p w14:paraId="4BC85CA2" w14:textId="16A98C5B" w:rsidR="00A238EE" w:rsidRPr="00B40734" w:rsidRDefault="00A238EE" w:rsidP="00A238EE">
            <w:pPr>
              <w:jc w:val="center"/>
              <w:rPr>
                <w:rFonts w:cs="Arial"/>
                <w:b/>
                <w:bCs/>
                <w:lang w:eastAsia="en-IE"/>
              </w:rPr>
            </w:pPr>
            <w:r w:rsidRPr="00B40734">
              <w:rPr>
                <w:rFonts w:cs="Arial"/>
                <w:b/>
                <w:bCs/>
                <w:lang w:eastAsia="en-IE"/>
              </w:rPr>
              <w:t xml:space="preserve">No. </w:t>
            </w:r>
            <w:r w:rsidR="00713DD3" w:rsidRPr="00B40734">
              <w:rPr>
                <w:rFonts w:cs="Arial"/>
                <w:b/>
                <w:bCs/>
                <w:lang w:eastAsia="en-IE"/>
              </w:rPr>
              <w:t>residential applications</w:t>
            </w:r>
            <w:r w:rsidRPr="00B40734">
              <w:rPr>
                <w:rFonts w:cs="Arial"/>
                <w:b/>
                <w:bCs/>
                <w:lang w:eastAsia="en-IE"/>
              </w:rPr>
              <w:t xml:space="preserve"> granted (includes appeal decisions)</w:t>
            </w:r>
          </w:p>
        </w:tc>
      </w:tr>
      <w:tr w:rsidR="00A238EE" w:rsidRPr="00B40734" w14:paraId="2AA943E3" w14:textId="77777777" w:rsidTr="00A238EE">
        <w:trPr>
          <w:cantSplit/>
          <w:jc w:val="center"/>
        </w:trPr>
        <w:tc>
          <w:tcPr>
            <w:tcW w:w="3549" w:type="dxa"/>
            <w:noWrap/>
            <w:tcMar>
              <w:top w:w="0" w:type="dxa"/>
              <w:left w:w="108" w:type="dxa"/>
              <w:bottom w:w="0" w:type="dxa"/>
              <w:right w:w="108" w:type="dxa"/>
            </w:tcMar>
            <w:hideMark/>
          </w:tcPr>
          <w:p w14:paraId="0B8EC93E" w14:textId="77777777" w:rsidR="00A238EE" w:rsidRPr="00B40734" w:rsidRDefault="00A238EE" w:rsidP="00A238EE">
            <w:pPr>
              <w:jc w:val="left"/>
              <w:rPr>
                <w:rFonts w:cs="Arial"/>
                <w:lang w:eastAsia="en-IE"/>
              </w:rPr>
            </w:pPr>
            <w:r w:rsidRPr="00B40734">
              <w:rPr>
                <w:rFonts w:cs="Arial"/>
                <w:lang w:eastAsia="en-IE"/>
              </w:rPr>
              <w:t>Ballymun</w:t>
            </w:r>
          </w:p>
        </w:tc>
        <w:tc>
          <w:tcPr>
            <w:tcW w:w="2542" w:type="dxa"/>
            <w:noWrap/>
            <w:tcMar>
              <w:top w:w="0" w:type="dxa"/>
              <w:left w:w="108" w:type="dxa"/>
              <w:bottom w:w="0" w:type="dxa"/>
              <w:right w:w="108" w:type="dxa"/>
            </w:tcMar>
          </w:tcPr>
          <w:p w14:paraId="7FCB05C5" w14:textId="77777777" w:rsidR="00A238EE" w:rsidRPr="00720329" w:rsidRDefault="00A238EE" w:rsidP="00A238EE">
            <w:pPr>
              <w:jc w:val="center"/>
              <w:rPr>
                <w:rFonts w:cs="Arial"/>
                <w:lang w:eastAsia="en-IE"/>
              </w:rPr>
            </w:pPr>
            <w:r w:rsidRPr="00720329">
              <w:rPr>
                <w:rFonts w:cs="Arial"/>
                <w:lang w:eastAsia="en-IE"/>
              </w:rPr>
              <w:t>2</w:t>
            </w:r>
          </w:p>
        </w:tc>
      </w:tr>
      <w:tr w:rsidR="00A238EE" w:rsidRPr="00B40734" w14:paraId="66CC4C3D" w14:textId="77777777" w:rsidTr="00A238EE">
        <w:trPr>
          <w:cantSplit/>
          <w:jc w:val="center"/>
        </w:trPr>
        <w:tc>
          <w:tcPr>
            <w:tcW w:w="3549" w:type="dxa"/>
            <w:noWrap/>
            <w:tcMar>
              <w:top w:w="0" w:type="dxa"/>
              <w:left w:w="108" w:type="dxa"/>
              <w:bottom w:w="0" w:type="dxa"/>
              <w:right w:w="108" w:type="dxa"/>
            </w:tcMar>
            <w:hideMark/>
          </w:tcPr>
          <w:p w14:paraId="3A9E35E7" w14:textId="5BBF8EEE" w:rsidR="00A238EE" w:rsidRPr="00B40734" w:rsidRDefault="00A238EE" w:rsidP="00A238EE">
            <w:pPr>
              <w:jc w:val="left"/>
              <w:rPr>
                <w:rFonts w:cs="Arial"/>
                <w:lang w:eastAsia="en-IE"/>
              </w:rPr>
            </w:pPr>
            <w:proofErr w:type="spellStart"/>
            <w:r w:rsidRPr="00B40734">
              <w:rPr>
                <w:rFonts w:cs="Arial"/>
                <w:lang w:eastAsia="en-IE"/>
              </w:rPr>
              <w:t>Clongriffin</w:t>
            </w:r>
            <w:proofErr w:type="spellEnd"/>
            <w:r w:rsidRPr="00B40734">
              <w:rPr>
                <w:rFonts w:cs="Arial"/>
                <w:lang w:eastAsia="en-IE"/>
              </w:rPr>
              <w:t>/</w:t>
            </w:r>
            <w:proofErr w:type="spellStart"/>
            <w:r w:rsidRPr="00B40734">
              <w:rPr>
                <w:rFonts w:cs="Arial"/>
                <w:lang w:eastAsia="en-IE"/>
              </w:rPr>
              <w:t>Belmayne</w:t>
            </w:r>
            <w:proofErr w:type="spellEnd"/>
          </w:p>
        </w:tc>
        <w:tc>
          <w:tcPr>
            <w:tcW w:w="2542" w:type="dxa"/>
            <w:noWrap/>
            <w:tcMar>
              <w:top w:w="0" w:type="dxa"/>
              <w:left w:w="108" w:type="dxa"/>
              <w:bottom w:w="0" w:type="dxa"/>
              <w:right w:w="108" w:type="dxa"/>
            </w:tcMar>
          </w:tcPr>
          <w:p w14:paraId="6286C1F9" w14:textId="77777777" w:rsidR="00A238EE" w:rsidRPr="00720329" w:rsidRDefault="00A238EE" w:rsidP="00A238EE">
            <w:pPr>
              <w:jc w:val="center"/>
              <w:rPr>
                <w:rFonts w:cs="Arial"/>
                <w:lang w:eastAsia="en-IE"/>
              </w:rPr>
            </w:pPr>
            <w:r w:rsidRPr="00720329">
              <w:rPr>
                <w:rFonts w:cs="Arial"/>
                <w:lang w:eastAsia="en-IE"/>
              </w:rPr>
              <w:t>2</w:t>
            </w:r>
          </w:p>
        </w:tc>
      </w:tr>
      <w:tr w:rsidR="00A238EE" w:rsidRPr="00B40734" w14:paraId="1D2EAD78" w14:textId="77777777" w:rsidTr="00A238EE">
        <w:trPr>
          <w:cantSplit/>
          <w:jc w:val="center"/>
        </w:trPr>
        <w:tc>
          <w:tcPr>
            <w:tcW w:w="3549" w:type="dxa"/>
            <w:noWrap/>
            <w:tcMar>
              <w:top w:w="0" w:type="dxa"/>
              <w:left w:w="108" w:type="dxa"/>
              <w:bottom w:w="0" w:type="dxa"/>
              <w:right w:w="108" w:type="dxa"/>
            </w:tcMar>
            <w:hideMark/>
          </w:tcPr>
          <w:p w14:paraId="4695B7BF" w14:textId="77777777" w:rsidR="00A238EE" w:rsidRPr="00B40734" w:rsidRDefault="00A238EE" w:rsidP="00A238EE">
            <w:pPr>
              <w:jc w:val="left"/>
              <w:rPr>
                <w:rFonts w:cs="Arial"/>
                <w:lang w:eastAsia="en-IE"/>
              </w:rPr>
            </w:pPr>
            <w:r w:rsidRPr="00B40734">
              <w:rPr>
                <w:rFonts w:cs="Arial"/>
                <w:lang w:eastAsia="en-IE"/>
              </w:rPr>
              <w:t>Docklands</w:t>
            </w:r>
          </w:p>
        </w:tc>
        <w:tc>
          <w:tcPr>
            <w:tcW w:w="2542" w:type="dxa"/>
            <w:noWrap/>
            <w:tcMar>
              <w:top w:w="0" w:type="dxa"/>
              <w:left w:w="108" w:type="dxa"/>
              <w:bottom w:w="0" w:type="dxa"/>
              <w:right w:w="108" w:type="dxa"/>
            </w:tcMar>
          </w:tcPr>
          <w:p w14:paraId="78B6F054" w14:textId="77777777" w:rsidR="00A238EE" w:rsidRPr="00720329" w:rsidRDefault="00A238EE" w:rsidP="00A238EE">
            <w:pPr>
              <w:jc w:val="center"/>
              <w:rPr>
                <w:rFonts w:cs="Arial"/>
                <w:lang w:eastAsia="en-IE"/>
              </w:rPr>
            </w:pPr>
            <w:r w:rsidRPr="00720329">
              <w:rPr>
                <w:rFonts w:cs="Arial"/>
                <w:lang w:eastAsia="en-IE"/>
              </w:rPr>
              <w:t>17</w:t>
            </w:r>
          </w:p>
        </w:tc>
      </w:tr>
      <w:tr w:rsidR="00A238EE" w:rsidRPr="00B40734" w14:paraId="62161CA4" w14:textId="77777777" w:rsidTr="00A238EE">
        <w:trPr>
          <w:cantSplit/>
          <w:jc w:val="center"/>
        </w:trPr>
        <w:tc>
          <w:tcPr>
            <w:tcW w:w="3549" w:type="dxa"/>
            <w:noWrap/>
            <w:tcMar>
              <w:top w:w="0" w:type="dxa"/>
              <w:left w:w="108" w:type="dxa"/>
              <w:bottom w:w="0" w:type="dxa"/>
              <w:right w:w="108" w:type="dxa"/>
            </w:tcMar>
            <w:hideMark/>
          </w:tcPr>
          <w:p w14:paraId="22C19E40" w14:textId="77777777" w:rsidR="00A238EE" w:rsidRPr="00B40734" w:rsidRDefault="00A238EE" w:rsidP="00A238EE">
            <w:pPr>
              <w:jc w:val="left"/>
              <w:rPr>
                <w:rFonts w:cs="Arial"/>
                <w:lang w:eastAsia="en-IE"/>
              </w:rPr>
            </w:pPr>
            <w:r w:rsidRPr="00B40734">
              <w:rPr>
                <w:rFonts w:cs="Arial"/>
                <w:lang w:eastAsia="en-IE"/>
              </w:rPr>
              <w:t>Emmet Road</w:t>
            </w:r>
          </w:p>
        </w:tc>
        <w:tc>
          <w:tcPr>
            <w:tcW w:w="2542" w:type="dxa"/>
            <w:noWrap/>
            <w:tcMar>
              <w:top w:w="0" w:type="dxa"/>
              <w:left w:w="108" w:type="dxa"/>
              <w:bottom w:w="0" w:type="dxa"/>
              <w:right w:w="108" w:type="dxa"/>
            </w:tcMar>
          </w:tcPr>
          <w:p w14:paraId="78E0C5ED" w14:textId="77777777" w:rsidR="00A238EE" w:rsidRPr="00720329" w:rsidRDefault="00A238EE" w:rsidP="00A238EE">
            <w:pPr>
              <w:jc w:val="center"/>
              <w:rPr>
                <w:rFonts w:cs="Arial"/>
                <w:lang w:eastAsia="en-IE"/>
              </w:rPr>
            </w:pPr>
            <w:r w:rsidRPr="00720329">
              <w:rPr>
                <w:rFonts w:cs="Arial"/>
                <w:lang w:eastAsia="en-IE"/>
              </w:rPr>
              <w:t>2</w:t>
            </w:r>
          </w:p>
        </w:tc>
      </w:tr>
      <w:tr w:rsidR="00A238EE" w:rsidRPr="00B40734" w14:paraId="5D33EBDD" w14:textId="77777777" w:rsidTr="00A238EE">
        <w:trPr>
          <w:cantSplit/>
          <w:jc w:val="center"/>
        </w:trPr>
        <w:tc>
          <w:tcPr>
            <w:tcW w:w="3549" w:type="dxa"/>
            <w:noWrap/>
            <w:tcMar>
              <w:top w:w="0" w:type="dxa"/>
              <w:left w:w="108" w:type="dxa"/>
              <w:bottom w:w="0" w:type="dxa"/>
              <w:right w:w="108" w:type="dxa"/>
            </w:tcMar>
            <w:hideMark/>
          </w:tcPr>
          <w:p w14:paraId="0555B00D" w14:textId="77777777" w:rsidR="00A238EE" w:rsidRPr="00B40734" w:rsidRDefault="00A238EE" w:rsidP="00A238EE">
            <w:pPr>
              <w:jc w:val="left"/>
              <w:rPr>
                <w:rFonts w:cs="Arial"/>
                <w:lang w:eastAsia="en-IE"/>
              </w:rPr>
            </w:pPr>
            <w:r w:rsidRPr="00B40734">
              <w:rPr>
                <w:rFonts w:cs="Arial"/>
                <w:lang w:eastAsia="en-IE"/>
              </w:rPr>
              <w:t>Finglas Village and Jamestown Road</w:t>
            </w:r>
          </w:p>
        </w:tc>
        <w:tc>
          <w:tcPr>
            <w:tcW w:w="2542" w:type="dxa"/>
            <w:noWrap/>
            <w:tcMar>
              <w:top w:w="0" w:type="dxa"/>
              <w:left w:w="108" w:type="dxa"/>
              <w:bottom w:w="0" w:type="dxa"/>
              <w:right w:w="108" w:type="dxa"/>
            </w:tcMar>
          </w:tcPr>
          <w:p w14:paraId="434F887D" w14:textId="77777777" w:rsidR="00A238EE" w:rsidRPr="00720329" w:rsidRDefault="00A238EE" w:rsidP="00A238EE">
            <w:pPr>
              <w:jc w:val="center"/>
              <w:rPr>
                <w:rFonts w:cs="Arial"/>
                <w:lang w:eastAsia="en-IE"/>
              </w:rPr>
            </w:pPr>
            <w:r w:rsidRPr="00720329">
              <w:rPr>
                <w:rFonts w:cs="Arial"/>
                <w:lang w:eastAsia="en-IE"/>
              </w:rPr>
              <w:t>1</w:t>
            </w:r>
          </w:p>
        </w:tc>
      </w:tr>
      <w:tr w:rsidR="00A238EE" w:rsidRPr="00B40734" w14:paraId="04A27ED0" w14:textId="77777777" w:rsidTr="00A238EE">
        <w:trPr>
          <w:cantSplit/>
          <w:jc w:val="center"/>
        </w:trPr>
        <w:tc>
          <w:tcPr>
            <w:tcW w:w="3549" w:type="dxa"/>
            <w:noWrap/>
            <w:tcMar>
              <w:top w:w="0" w:type="dxa"/>
              <w:left w:w="108" w:type="dxa"/>
              <w:bottom w:w="0" w:type="dxa"/>
              <w:right w:w="108" w:type="dxa"/>
            </w:tcMar>
            <w:hideMark/>
          </w:tcPr>
          <w:p w14:paraId="2BEC6FED" w14:textId="77777777" w:rsidR="00A238EE" w:rsidRPr="00B40734" w:rsidRDefault="00A238EE" w:rsidP="00A238EE">
            <w:pPr>
              <w:jc w:val="left"/>
              <w:rPr>
                <w:rFonts w:cs="Arial"/>
                <w:lang w:eastAsia="en-IE"/>
              </w:rPr>
            </w:pPr>
            <w:proofErr w:type="spellStart"/>
            <w:r w:rsidRPr="00B40734">
              <w:rPr>
                <w:rFonts w:cs="Arial"/>
                <w:lang w:eastAsia="en-IE"/>
              </w:rPr>
              <w:t>Grangegorman</w:t>
            </w:r>
            <w:proofErr w:type="spellEnd"/>
            <w:r w:rsidRPr="00B40734">
              <w:rPr>
                <w:rFonts w:cs="Arial"/>
                <w:lang w:eastAsia="en-IE"/>
              </w:rPr>
              <w:t>/Broadstone</w:t>
            </w:r>
          </w:p>
        </w:tc>
        <w:tc>
          <w:tcPr>
            <w:tcW w:w="2542" w:type="dxa"/>
            <w:noWrap/>
            <w:tcMar>
              <w:top w:w="0" w:type="dxa"/>
              <w:left w:w="108" w:type="dxa"/>
              <w:bottom w:w="0" w:type="dxa"/>
              <w:right w:w="108" w:type="dxa"/>
            </w:tcMar>
          </w:tcPr>
          <w:p w14:paraId="288EAD7E" w14:textId="77777777" w:rsidR="00A238EE" w:rsidRPr="00720329" w:rsidRDefault="00A238EE" w:rsidP="00A238EE">
            <w:pPr>
              <w:jc w:val="center"/>
              <w:rPr>
                <w:rFonts w:cs="Arial"/>
                <w:lang w:eastAsia="en-IE"/>
              </w:rPr>
            </w:pPr>
            <w:r w:rsidRPr="00720329">
              <w:rPr>
                <w:rFonts w:cs="Arial"/>
                <w:lang w:eastAsia="en-IE"/>
              </w:rPr>
              <w:t>-</w:t>
            </w:r>
          </w:p>
        </w:tc>
      </w:tr>
      <w:tr w:rsidR="00A238EE" w:rsidRPr="00B40734" w14:paraId="0B1C9FAA" w14:textId="77777777" w:rsidTr="00A238EE">
        <w:trPr>
          <w:cantSplit/>
          <w:jc w:val="center"/>
        </w:trPr>
        <w:tc>
          <w:tcPr>
            <w:tcW w:w="3549" w:type="dxa"/>
            <w:noWrap/>
            <w:tcMar>
              <w:top w:w="0" w:type="dxa"/>
              <w:left w:w="108" w:type="dxa"/>
              <w:bottom w:w="0" w:type="dxa"/>
              <w:right w:w="108" w:type="dxa"/>
            </w:tcMar>
            <w:hideMark/>
          </w:tcPr>
          <w:p w14:paraId="68E7A257" w14:textId="77777777" w:rsidR="00A238EE" w:rsidRPr="00B40734" w:rsidRDefault="00A238EE" w:rsidP="00A238EE">
            <w:pPr>
              <w:jc w:val="left"/>
              <w:rPr>
                <w:rFonts w:cs="Arial"/>
                <w:lang w:eastAsia="en-IE"/>
              </w:rPr>
            </w:pPr>
            <w:r w:rsidRPr="00B40734">
              <w:rPr>
                <w:rFonts w:cs="Arial"/>
                <w:lang w:eastAsia="en-IE"/>
              </w:rPr>
              <w:t>Heuston Station</w:t>
            </w:r>
          </w:p>
        </w:tc>
        <w:tc>
          <w:tcPr>
            <w:tcW w:w="2542" w:type="dxa"/>
            <w:noWrap/>
            <w:tcMar>
              <w:top w:w="0" w:type="dxa"/>
              <w:left w:w="108" w:type="dxa"/>
              <w:bottom w:w="0" w:type="dxa"/>
              <w:right w:w="108" w:type="dxa"/>
            </w:tcMar>
          </w:tcPr>
          <w:p w14:paraId="194BC6F7" w14:textId="77777777" w:rsidR="00A238EE" w:rsidRPr="00720329" w:rsidRDefault="00A238EE" w:rsidP="00A238EE">
            <w:pPr>
              <w:jc w:val="center"/>
              <w:rPr>
                <w:rFonts w:cs="Arial"/>
                <w:lang w:eastAsia="en-IE"/>
              </w:rPr>
            </w:pPr>
            <w:r w:rsidRPr="00720329">
              <w:rPr>
                <w:rFonts w:cs="Arial"/>
                <w:lang w:eastAsia="en-IE"/>
              </w:rPr>
              <w:t>2</w:t>
            </w:r>
          </w:p>
        </w:tc>
      </w:tr>
      <w:tr w:rsidR="00A238EE" w:rsidRPr="00B40734" w14:paraId="216DAEA2" w14:textId="77777777" w:rsidTr="00A238EE">
        <w:trPr>
          <w:cantSplit/>
          <w:jc w:val="center"/>
        </w:trPr>
        <w:tc>
          <w:tcPr>
            <w:tcW w:w="3549" w:type="dxa"/>
            <w:noWrap/>
            <w:tcMar>
              <w:top w:w="0" w:type="dxa"/>
              <w:left w:w="108" w:type="dxa"/>
              <w:bottom w:w="0" w:type="dxa"/>
              <w:right w:w="108" w:type="dxa"/>
            </w:tcMar>
            <w:hideMark/>
          </w:tcPr>
          <w:p w14:paraId="6425FD7E" w14:textId="77777777" w:rsidR="00A238EE" w:rsidRPr="00B40734" w:rsidRDefault="00A238EE" w:rsidP="00A238EE">
            <w:pPr>
              <w:jc w:val="left"/>
              <w:rPr>
                <w:rFonts w:cs="Arial"/>
                <w:lang w:eastAsia="en-IE"/>
              </w:rPr>
            </w:pPr>
            <w:r w:rsidRPr="00B40734">
              <w:rPr>
                <w:rFonts w:cs="Arial"/>
                <w:lang w:eastAsia="en-IE"/>
              </w:rPr>
              <w:t>Liberties and Newmarket Square</w:t>
            </w:r>
          </w:p>
        </w:tc>
        <w:tc>
          <w:tcPr>
            <w:tcW w:w="2542" w:type="dxa"/>
            <w:noWrap/>
            <w:tcMar>
              <w:top w:w="0" w:type="dxa"/>
              <w:left w:w="108" w:type="dxa"/>
              <w:bottom w:w="0" w:type="dxa"/>
              <w:right w:w="108" w:type="dxa"/>
            </w:tcMar>
          </w:tcPr>
          <w:p w14:paraId="207AC895" w14:textId="77777777" w:rsidR="00A238EE" w:rsidRPr="00720329" w:rsidRDefault="00A238EE" w:rsidP="00A238EE">
            <w:pPr>
              <w:jc w:val="center"/>
              <w:rPr>
                <w:rFonts w:cs="Arial"/>
                <w:lang w:eastAsia="en-IE"/>
              </w:rPr>
            </w:pPr>
            <w:r w:rsidRPr="00720329">
              <w:rPr>
                <w:rFonts w:cs="Arial"/>
                <w:lang w:eastAsia="en-IE"/>
              </w:rPr>
              <w:t>8</w:t>
            </w:r>
          </w:p>
        </w:tc>
      </w:tr>
      <w:tr w:rsidR="00A238EE" w:rsidRPr="00B40734" w14:paraId="0463AEFF" w14:textId="77777777" w:rsidTr="00A238EE">
        <w:trPr>
          <w:cantSplit/>
          <w:jc w:val="center"/>
        </w:trPr>
        <w:tc>
          <w:tcPr>
            <w:tcW w:w="3549" w:type="dxa"/>
            <w:noWrap/>
            <w:tcMar>
              <w:top w:w="0" w:type="dxa"/>
              <w:left w:w="108" w:type="dxa"/>
              <w:bottom w:w="0" w:type="dxa"/>
              <w:right w:w="108" w:type="dxa"/>
            </w:tcMar>
            <w:hideMark/>
          </w:tcPr>
          <w:p w14:paraId="07D140AA" w14:textId="77777777" w:rsidR="00A238EE" w:rsidRPr="00B40734" w:rsidRDefault="00A238EE" w:rsidP="00A238EE">
            <w:pPr>
              <w:jc w:val="left"/>
              <w:rPr>
                <w:rFonts w:cs="Arial"/>
                <w:lang w:eastAsia="en-IE"/>
              </w:rPr>
            </w:pPr>
            <w:r w:rsidRPr="00B40734">
              <w:rPr>
                <w:rFonts w:cs="Arial"/>
                <w:lang w:eastAsia="en-IE"/>
              </w:rPr>
              <w:t>Markets Area</w:t>
            </w:r>
          </w:p>
        </w:tc>
        <w:tc>
          <w:tcPr>
            <w:tcW w:w="2542" w:type="dxa"/>
            <w:noWrap/>
            <w:tcMar>
              <w:top w:w="0" w:type="dxa"/>
              <w:left w:w="108" w:type="dxa"/>
              <w:bottom w:w="0" w:type="dxa"/>
              <w:right w:w="108" w:type="dxa"/>
            </w:tcMar>
          </w:tcPr>
          <w:p w14:paraId="01AA7C00" w14:textId="77777777" w:rsidR="00A238EE" w:rsidRPr="00720329" w:rsidRDefault="00A238EE" w:rsidP="00A238EE">
            <w:pPr>
              <w:jc w:val="center"/>
              <w:rPr>
                <w:rFonts w:cs="Arial"/>
                <w:lang w:eastAsia="en-IE"/>
              </w:rPr>
            </w:pPr>
            <w:r w:rsidRPr="00720329">
              <w:rPr>
                <w:rFonts w:cs="Arial"/>
                <w:lang w:eastAsia="en-IE"/>
              </w:rPr>
              <w:t>1</w:t>
            </w:r>
          </w:p>
        </w:tc>
      </w:tr>
      <w:tr w:rsidR="00A238EE" w:rsidRPr="00B40734" w14:paraId="112278D0" w14:textId="77777777" w:rsidTr="00A238EE">
        <w:trPr>
          <w:cantSplit/>
          <w:jc w:val="center"/>
        </w:trPr>
        <w:tc>
          <w:tcPr>
            <w:tcW w:w="3549" w:type="dxa"/>
            <w:noWrap/>
            <w:tcMar>
              <w:top w:w="0" w:type="dxa"/>
              <w:left w:w="108" w:type="dxa"/>
              <w:bottom w:w="0" w:type="dxa"/>
              <w:right w:w="108" w:type="dxa"/>
            </w:tcMar>
            <w:hideMark/>
          </w:tcPr>
          <w:p w14:paraId="7F3D1971" w14:textId="77777777" w:rsidR="00A238EE" w:rsidRPr="00B40734" w:rsidRDefault="00A238EE" w:rsidP="00A238EE">
            <w:pPr>
              <w:jc w:val="left"/>
              <w:rPr>
                <w:rFonts w:cs="Arial"/>
                <w:lang w:eastAsia="en-IE"/>
              </w:rPr>
            </w:pPr>
            <w:r w:rsidRPr="00B40734">
              <w:rPr>
                <w:rFonts w:cs="Arial"/>
                <w:lang w:eastAsia="en-IE"/>
              </w:rPr>
              <w:t>Naas Road</w:t>
            </w:r>
          </w:p>
        </w:tc>
        <w:tc>
          <w:tcPr>
            <w:tcW w:w="2542" w:type="dxa"/>
            <w:noWrap/>
            <w:tcMar>
              <w:top w:w="0" w:type="dxa"/>
              <w:left w:w="108" w:type="dxa"/>
              <w:bottom w:w="0" w:type="dxa"/>
              <w:right w:w="108" w:type="dxa"/>
            </w:tcMar>
          </w:tcPr>
          <w:p w14:paraId="66060CB5" w14:textId="77777777" w:rsidR="00A238EE" w:rsidRPr="00720329" w:rsidRDefault="00A238EE" w:rsidP="00A238EE">
            <w:pPr>
              <w:jc w:val="center"/>
              <w:rPr>
                <w:rFonts w:cs="Arial"/>
                <w:lang w:eastAsia="en-IE"/>
              </w:rPr>
            </w:pPr>
            <w:r w:rsidRPr="00720329">
              <w:rPr>
                <w:rFonts w:cs="Arial"/>
                <w:lang w:eastAsia="en-IE"/>
              </w:rPr>
              <w:t>1</w:t>
            </w:r>
          </w:p>
        </w:tc>
      </w:tr>
      <w:tr w:rsidR="00A238EE" w:rsidRPr="00B40734" w14:paraId="391AE6F2" w14:textId="77777777" w:rsidTr="00A238EE">
        <w:trPr>
          <w:cantSplit/>
          <w:jc w:val="center"/>
        </w:trPr>
        <w:tc>
          <w:tcPr>
            <w:tcW w:w="3549" w:type="dxa"/>
            <w:noWrap/>
            <w:tcMar>
              <w:top w:w="0" w:type="dxa"/>
              <w:left w:w="108" w:type="dxa"/>
              <w:bottom w:w="0" w:type="dxa"/>
              <w:right w:w="108" w:type="dxa"/>
            </w:tcMar>
            <w:hideMark/>
          </w:tcPr>
          <w:p w14:paraId="72817D1B" w14:textId="77777777" w:rsidR="00A238EE" w:rsidRPr="00B40734" w:rsidRDefault="00A238EE" w:rsidP="00A238EE">
            <w:pPr>
              <w:jc w:val="left"/>
              <w:rPr>
                <w:rFonts w:cs="Arial"/>
                <w:lang w:eastAsia="en-IE"/>
              </w:rPr>
            </w:pPr>
            <w:r w:rsidRPr="00B40734">
              <w:rPr>
                <w:rFonts w:cs="Arial"/>
                <w:lang w:eastAsia="en-IE"/>
              </w:rPr>
              <w:t>Northeast Inner City</w:t>
            </w:r>
          </w:p>
        </w:tc>
        <w:tc>
          <w:tcPr>
            <w:tcW w:w="2542" w:type="dxa"/>
            <w:noWrap/>
            <w:tcMar>
              <w:top w:w="0" w:type="dxa"/>
              <w:left w:w="108" w:type="dxa"/>
              <w:bottom w:w="0" w:type="dxa"/>
              <w:right w:w="108" w:type="dxa"/>
            </w:tcMar>
          </w:tcPr>
          <w:p w14:paraId="6CA961D4" w14:textId="77777777" w:rsidR="00A238EE" w:rsidRPr="00720329" w:rsidRDefault="00A238EE" w:rsidP="00A238EE">
            <w:pPr>
              <w:jc w:val="center"/>
              <w:rPr>
                <w:rFonts w:cs="Arial"/>
                <w:lang w:eastAsia="en-IE"/>
              </w:rPr>
            </w:pPr>
            <w:r w:rsidRPr="00720329">
              <w:rPr>
                <w:rFonts w:cs="Arial"/>
                <w:lang w:eastAsia="en-IE"/>
              </w:rPr>
              <w:t>16</w:t>
            </w:r>
          </w:p>
        </w:tc>
      </w:tr>
      <w:tr w:rsidR="00A238EE" w:rsidRPr="00B40734" w14:paraId="3F5C66C7" w14:textId="77777777" w:rsidTr="00A238EE">
        <w:trPr>
          <w:cantSplit/>
          <w:jc w:val="center"/>
        </w:trPr>
        <w:tc>
          <w:tcPr>
            <w:tcW w:w="3549" w:type="dxa"/>
            <w:noWrap/>
            <w:tcMar>
              <w:top w:w="0" w:type="dxa"/>
              <w:left w:w="108" w:type="dxa"/>
              <w:bottom w:w="0" w:type="dxa"/>
              <w:right w:w="108" w:type="dxa"/>
            </w:tcMar>
            <w:hideMark/>
          </w:tcPr>
          <w:p w14:paraId="581A9F2A" w14:textId="77777777" w:rsidR="00A238EE" w:rsidRPr="00B40734" w:rsidRDefault="00A238EE" w:rsidP="00A238EE">
            <w:pPr>
              <w:jc w:val="left"/>
              <w:rPr>
                <w:rFonts w:cs="Arial"/>
                <w:lang w:eastAsia="en-IE"/>
              </w:rPr>
            </w:pPr>
            <w:r w:rsidRPr="00B40734">
              <w:rPr>
                <w:rFonts w:cs="Arial"/>
                <w:lang w:eastAsia="en-IE"/>
              </w:rPr>
              <w:t>Park West/Cherry Orchard</w:t>
            </w:r>
          </w:p>
        </w:tc>
        <w:tc>
          <w:tcPr>
            <w:tcW w:w="2542" w:type="dxa"/>
            <w:noWrap/>
            <w:tcMar>
              <w:top w:w="0" w:type="dxa"/>
              <w:left w:w="108" w:type="dxa"/>
              <w:bottom w:w="0" w:type="dxa"/>
              <w:right w:w="108" w:type="dxa"/>
            </w:tcMar>
          </w:tcPr>
          <w:p w14:paraId="1058F284" w14:textId="77777777" w:rsidR="00A238EE" w:rsidRPr="00720329" w:rsidRDefault="00A238EE" w:rsidP="00A238EE">
            <w:pPr>
              <w:jc w:val="center"/>
              <w:rPr>
                <w:rFonts w:cs="Arial"/>
                <w:lang w:eastAsia="en-IE"/>
              </w:rPr>
            </w:pPr>
            <w:r w:rsidRPr="00720329">
              <w:rPr>
                <w:rFonts w:cs="Arial"/>
                <w:lang w:eastAsia="en-IE"/>
              </w:rPr>
              <w:t>-</w:t>
            </w:r>
          </w:p>
        </w:tc>
      </w:tr>
      <w:tr w:rsidR="00A238EE" w:rsidRPr="00B40734" w14:paraId="3F40CA66" w14:textId="77777777" w:rsidTr="00A238EE">
        <w:trPr>
          <w:cantSplit/>
          <w:jc w:val="center"/>
        </w:trPr>
        <w:tc>
          <w:tcPr>
            <w:tcW w:w="3549" w:type="dxa"/>
            <w:noWrap/>
            <w:tcMar>
              <w:top w:w="0" w:type="dxa"/>
              <w:left w:w="108" w:type="dxa"/>
              <w:bottom w:w="0" w:type="dxa"/>
              <w:right w:w="108" w:type="dxa"/>
            </w:tcMar>
            <w:hideMark/>
          </w:tcPr>
          <w:p w14:paraId="56DFBC4E" w14:textId="77777777" w:rsidR="00A238EE" w:rsidRPr="00B40734" w:rsidRDefault="00A238EE" w:rsidP="00A238EE">
            <w:pPr>
              <w:jc w:val="left"/>
              <w:rPr>
                <w:rFonts w:cs="Arial"/>
                <w:lang w:eastAsia="en-IE"/>
              </w:rPr>
            </w:pPr>
            <w:r w:rsidRPr="00B40734">
              <w:rPr>
                <w:rFonts w:cs="Arial"/>
                <w:lang w:eastAsia="en-IE"/>
              </w:rPr>
              <w:t>St. James's Campus</w:t>
            </w:r>
          </w:p>
        </w:tc>
        <w:tc>
          <w:tcPr>
            <w:tcW w:w="2542" w:type="dxa"/>
            <w:noWrap/>
            <w:tcMar>
              <w:top w:w="0" w:type="dxa"/>
              <w:left w:w="108" w:type="dxa"/>
              <w:bottom w:w="0" w:type="dxa"/>
              <w:right w:w="108" w:type="dxa"/>
            </w:tcMar>
          </w:tcPr>
          <w:p w14:paraId="6047D845" w14:textId="77777777" w:rsidR="00A238EE" w:rsidRPr="00720329" w:rsidRDefault="00A238EE" w:rsidP="00A238EE">
            <w:pPr>
              <w:jc w:val="center"/>
              <w:rPr>
                <w:rFonts w:cs="Arial"/>
                <w:lang w:eastAsia="en-IE"/>
              </w:rPr>
            </w:pPr>
            <w:r w:rsidRPr="00720329">
              <w:rPr>
                <w:rFonts w:cs="Arial"/>
                <w:lang w:eastAsia="en-IE"/>
              </w:rPr>
              <w:t>-</w:t>
            </w:r>
          </w:p>
        </w:tc>
      </w:tr>
      <w:tr w:rsidR="00A238EE" w:rsidRPr="00B40734" w14:paraId="6FDDD2C4" w14:textId="77777777" w:rsidTr="00A238EE">
        <w:trPr>
          <w:cantSplit/>
          <w:jc w:val="center"/>
        </w:trPr>
        <w:tc>
          <w:tcPr>
            <w:tcW w:w="3549" w:type="dxa"/>
            <w:noWrap/>
            <w:tcMar>
              <w:top w:w="0" w:type="dxa"/>
              <w:left w:w="108" w:type="dxa"/>
              <w:bottom w:w="0" w:type="dxa"/>
              <w:right w:w="108" w:type="dxa"/>
            </w:tcMar>
          </w:tcPr>
          <w:p w14:paraId="33A18425" w14:textId="77777777" w:rsidR="00A238EE" w:rsidRPr="00B40734" w:rsidRDefault="00A238EE" w:rsidP="00A238EE">
            <w:pPr>
              <w:jc w:val="left"/>
              <w:rPr>
                <w:rFonts w:cs="Arial"/>
                <w:lang w:eastAsia="en-IE"/>
              </w:rPr>
            </w:pPr>
            <w:r>
              <w:rPr>
                <w:rFonts w:cs="Arial"/>
                <w:lang w:eastAsia="en-IE"/>
              </w:rPr>
              <w:t>Dolphin House</w:t>
            </w:r>
          </w:p>
        </w:tc>
        <w:tc>
          <w:tcPr>
            <w:tcW w:w="2542" w:type="dxa"/>
            <w:noWrap/>
            <w:tcMar>
              <w:top w:w="0" w:type="dxa"/>
              <w:left w:w="108" w:type="dxa"/>
              <w:bottom w:w="0" w:type="dxa"/>
              <w:right w:w="108" w:type="dxa"/>
            </w:tcMar>
          </w:tcPr>
          <w:p w14:paraId="56575828" w14:textId="77777777" w:rsidR="00A238EE" w:rsidRPr="00720329" w:rsidRDefault="00A238EE" w:rsidP="00A238EE">
            <w:pPr>
              <w:jc w:val="center"/>
              <w:rPr>
                <w:rFonts w:cs="Arial"/>
                <w:lang w:eastAsia="en-IE"/>
              </w:rPr>
            </w:pPr>
            <w:r w:rsidRPr="00720329">
              <w:rPr>
                <w:rFonts w:cs="Arial"/>
                <w:lang w:eastAsia="en-IE"/>
              </w:rPr>
              <w:t>1</w:t>
            </w:r>
          </w:p>
        </w:tc>
      </w:tr>
      <w:tr w:rsidR="00A238EE" w:rsidRPr="00B40734" w14:paraId="6C294BAF" w14:textId="77777777" w:rsidTr="00A238EE">
        <w:trPr>
          <w:cantSplit/>
          <w:jc w:val="center"/>
        </w:trPr>
        <w:tc>
          <w:tcPr>
            <w:tcW w:w="3549" w:type="dxa"/>
            <w:noWrap/>
            <w:tcMar>
              <w:top w:w="0" w:type="dxa"/>
              <w:left w:w="108" w:type="dxa"/>
              <w:bottom w:w="0" w:type="dxa"/>
              <w:right w:w="108" w:type="dxa"/>
            </w:tcMar>
            <w:hideMark/>
          </w:tcPr>
          <w:p w14:paraId="2BEB9A0C" w14:textId="77777777" w:rsidR="00A238EE" w:rsidRPr="00B40734" w:rsidRDefault="00A238EE" w:rsidP="00A238EE">
            <w:pPr>
              <w:jc w:val="left"/>
              <w:rPr>
                <w:rFonts w:cs="Arial"/>
                <w:b/>
                <w:bCs/>
                <w:lang w:eastAsia="en-IE"/>
              </w:rPr>
            </w:pPr>
            <w:r w:rsidRPr="00B40734">
              <w:rPr>
                <w:rFonts w:cs="Arial"/>
                <w:b/>
                <w:bCs/>
                <w:lang w:eastAsia="en-IE"/>
              </w:rPr>
              <w:t>Total</w:t>
            </w:r>
          </w:p>
        </w:tc>
        <w:tc>
          <w:tcPr>
            <w:tcW w:w="2542" w:type="dxa"/>
            <w:noWrap/>
            <w:tcMar>
              <w:top w:w="0" w:type="dxa"/>
              <w:left w:w="108" w:type="dxa"/>
              <w:bottom w:w="0" w:type="dxa"/>
              <w:right w:w="108" w:type="dxa"/>
            </w:tcMar>
          </w:tcPr>
          <w:p w14:paraId="0881871E" w14:textId="77777777" w:rsidR="00A238EE" w:rsidRPr="00720329" w:rsidRDefault="00A238EE" w:rsidP="00A238EE">
            <w:pPr>
              <w:jc w:val="center"/>
              <w:rPr>
                <w:rFonts w:cs="Arial"/>
                <w:b/>
                <w:bCs/>
                <w:lang w:eastAsia="en-IE"/>
              </w:rPr>
            </w:pPr>
            <w:r w:rsidRPr="00720329">
              <w:rPr>
                <w:rFonts w:cs="Arial"/>
                <w:b/>
                <w:bCs/>
                <w:lang w:eastAsia="en-IE"/>
              </w:rPr>
              <w:t>53</w:t>
            </w:r>
          </w:p>
        </w:tc>
      </w:tr>
    </w:tbl>
    <w:p w14:paraId="074964D9" w14:textId="77777777" w:rsidR="00A238EE" w:rsidRPr="00B40734" w:rsidRDefault="00A238EE" w:rsidP="00A238EE">
      <w:pPr>
        <w:keepNext/>
        <w:spacing w:after="200" w:line="276" w:lineRule="auto"/>
        <w:contextualSpacing/>
        <w:jc w:val="center"/>
        <w:rPr>
          <w:rFonts w:eastAsia="Calibri" w:cstheme="minorHAnsi"/>
          <w:b/>
          <w:bCs/>
          <w:szCs w:val="16"/>
        </w:rPr>
      </w:pPr>
    </w:p>
    <w:p w14:paraId="722044C1" w14:textId="1F1DA08F" w:rsidR="00B927A0" w:rsidRDefault="00B927A0" w:rsidP="00A238EE">
      <w:pPr>
        <w:spacing w:before="60" w:after="60" w:line="276" w:lineRule="auto"/>
        <w:contextualSpacing/>
        <w:rPr>
          <w:rFonts w:cs="Arial"/>
          <w:i/>
        </w:rPr>
      </w:pPr>
      <w:bookmarkStart w:id="18" w:name="_Ref178849820"/>
      <w:bookmarkStart w:id="19" w:name="_Toc178675188"/>
      <w:bookmarkStart w:id="20" w:name="_Toc178675403"/>
      <w:bookmarkStart w:id="21" w:name="_Toc178675510"/>
      <w:bookmarkStart w:id="22" w:name="_Toc180059282"/>
    </w:p>
    <w:p w14:paraId="3583BBFE" w14:textId="77777777" w:rsidR="00336E32" w:rsidRDefault="00336E32" w:rsidP="00A238EE">
      <w:pPr>
        <w:spacing w:before="60" w:after="60" w:line="276" w:lineRule="auto"/>
        <w:contextualSpacing/>
        <w:rPr>
          <w:rFonts w:cs="Arial"/>
          <w:i/>
        </w:rPr>
      </w:pPr>
    </w:p>
    <w:p w14:paraId="510A1D53" w14:textId="77777777" w:rsidR="00336E32" w:rsidRDefault="00336E32" w:rsidP="00A238EE">
      <w:pPr>
        <w:spacing w:before="60" w:after="60" w:line="276" w:lineRule="auto"/>
        <w:contextualSpacing/>
        <w:rPr>
          <w:rFonts w:cs="Arial"/>
          <w:i/>
        </w:rPr>
      </w:pPr>
    </w:p>
    <w:p w14:paraId="704FE368" w14:textId="77777777" w:rsidR="00336E32" w:rsidRDefault="00336E32" w:rsidP="00A238EE">
      <w:pPr>
        <w:spacing w:before="60" w:after="60" w:line="276" w:lineRule="auto"/>
        <w:contextualSpacing/>
        <w:rPr>
          <w:rFonts w:cs="Arial"/>
          <w:i/>
        </w:rPr>
      </w:pPr>
    </w:p>
    <w:p w14:paraId="386D7805" w14:textId="77777777" w:rsidR="00336E32" w:rsidRDefault="00336E32" w:rsidP="00A238EE">
      <w:pPr>
        <w:spacing w:before="60" w:after="60" w:line="276" w:lineRule="auto"/>
        <w:contextualSpacing/>
        <w:rPr>
          <w:rFonts w:cs="Arial"/>
          <w:i/>
        </w:rPr>
      </w:pPr>
    </w:p>
    <w:p w14:paraId="25AE9E71" w14:textId="65342B00" w:rsidR="00A238EE" w:rsidRDefault="00A238EE" w:rsidP="00A238EE">
      <w:pPr>
        <w:spacing w:before="60" w:after="60" w:line="276" w:lineRule="auto"/>
        <w:contextualSpacing/>
        <w:rPr>
          <w:rFonts w:cs="Arial"/>
        </w:rPr>
      </w:pPr>
      <w:r w:rsidRPr="00B40734">
        <w:rPr>
          <w:rFonts w:eastAsia="Calibri" w:cstheme="minorHAnsi"/>
          <w:b/>
          <w:bCs/>
          <w:szCs w:val="16"/>
        </w:rPr>
        <w:lastRenderedPageBreak/>
        <w:t>Table</w:t>
      </w:r>
      <w:bookmarkEnd w:id="18"/>
      <w:r w:rsidRPr="00B40734">
        <w:rPr>
          <w:rFonts w:eastAsia="Calibri" w:cstheme="minorHAnsi"/>
          <w:b/>
          <w:bCs/>
          <w:szCs w:val="16"/>
        </w:rPr>
        <w:t xml:space="preserve"> </w:t>
      </w:r>
      <w:r w:rsidR="00DC4656">
        <w:rPr>
          <w:rFonts w:eastAsia="Calibri" w:cstheme="minorHAnsi"/>
          <w:b/>
          <w:bCs/>
          <w:szCs w:val="16"/>
        </w:rPr>
        <w:t>7</w:t>
      </w:r>
      <w:r w:rsidRPr="00B40734">
        <w:rPr>
          <w:rFonts w:eastAsia="Calibri" w:cstheme="minorHAnsi"/>
          <w:b/>
          <w:bCs/>
          <w:szCs w:val="16"/>
        </w:rPr>
        <w:t>: Office Development</w:t>
      </w:r>
      <w:r w:rsidR="006260E3">
        <w:rPr>
          <w:rFonts w:eastAsia="Calibri" w:cstheme="minorHAnsi"/>
          <w:b/>
          <w:bCs/>
          <w:szCs w:val="16"/>
        </w:rPr>
        <w:t>;</w:t>
      </w:r>
      <w:r w:rsidRPr="00B40734">
        <w:rPr>
          <w:rFonts w:eastAsia="Calibri" w:cstheme="minorHAnsi"/>
          <w:b/>
          <w:bCs/>
          <w:szCs w:val="16"/>
        </w:rPr>
        <w:t xml:space="preserve"> grants of Permission per SDRA, </w:t>
      </w:r>
      <w:bookmarkEnd w:id="19"/>
      <w:bookmarkEnd w:id="20"/>
      <w:bookmarkEnd w:id="21"/>
      <w:r w:rsidRPr="00B40734">
        <w:rPr>
          <w:rFonts w:eastAsia="Calibri" w:cstheme="minorHAnsi"/>
          <w:b/>
          <w:bCs/>
          <w:szCs w:val="16"/>
        </w:rPr>
        <w:t>202</w:t>
      </w:r>
      <w:bookmarkEnd w:id="22"/>
      <w:r w:rsidRPr="00B40734">
        <w:rPr>
          <w:rFonts w:eastAsia="Calibri" w:cstheme="minorHAnsi"/>
          <w:b/>
          <w:bCs/>
          <w:szCs w:val="16"/>
        </w:rPr>
        <w:t>4</w:t>
      </w:r>
      <w:r w:rsidR="00AC4A42">
        <w:rPr>
          <w:rFonts w:eastAsia="Calibri" w:cstheme="minorHAnsi"/>
          <w:b/>
          <w:bCs/>
          <w:szCs w:val="16"/>
        </w:rPr>
        <w:t xml:space="preserve"> </w:t>
      </w:r>
      <w:r w:rsidR="00AC4A42" w:rsidRPr="005A4BC4">
        <w:rPr>
          <w:rFonts w:cs="Arial"/>
        </w:rPr>
        <w:t>(Source: DCC Planning Department</w:t>
      </w:r>
      <w:r w:rsidR="00AC4A42">
        <w:rPr>
          <w:rFonts w:cs="Arial"/>
        </w:rPr>
        <w:t xml:space="preserve"> – APAS system query</w:t>
      </w:r>
      <w:r w:rsidR="00AC4A42" w:rsidRPr="005A4BC4">
        <w:rPr>
          <w:rFonts w:cs="Arial"/>
        </w:rPr>
        <w:t>)</w:t>
      </w:r>
    </w:p>
    <w:p w14:paraId="70BE37B4" w14:textId="77777777" w:rsidR="004700E7" w:rsidRPr="00B40734" w:rsidRDefault="004700E7" w:rsidP="00A238EE">
      <w:pPr>
        <w:spacing w:before="60" w:after="60" w:line="276" w:lineRule="auto"/>
        <w:contextualSpacing/>
        <w:rPr>
          <w:rFonts w:eastAsia="Calibri" w:cstheme="minorHAnsi"/>
          <w:b/>
          <w:bCs/>
          <w:szCs w:val="16"/>
        </w:rPr>
      </w:pPr>
    </w:p>
    <w:tbl>
      <w:tblPr>
        <w:tblW w:w="6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66"/>
        <w:gridCol w:w="1537"/>
        <w:gridCol w:w="1691"/>
      </w:tblGrid>
      <w:tr w:rsidR="00A238EE" w:rsidRPr="00B40734" w14:paraId="7BB43B7D" w14:textId="77777777" w:rsidTr="00A238EE">
        <w:trPr>
          <w:cantSplit/>
          <w:tblHeader/>
          <w:jc w:val="center"/>
        </w:trPr>
        <w:tc>
          <w:tcPr>
            <w:tcW w:w="3566" w:type="dxa"/>
            <w:tcMar>
              <w:top w:w="0" w:type="dxa"/>
              <w:left w:w="108" w:type="dxa"/>
              <w:bottom w:w="0" w:type="dxa"/>
              <w:right w:w="108" w:type="dxa"/>
            </w:tcMar>
            <w:hideMark/>
          </w:tcPr>
          <w:p w14:paraId="37012513" w14:textId="77777777" w:rsidR="00A238EE" w:rsidRPr="00B40734" w:rsidRDefault="00A238EE" w:rsidP="00A238EE">
            <w:pPr>
              <w:jc w:val="center"/>
              <w:rPr>
                <w:rFonts w:cs="Arial"/>
                <w:b/>
              </w:rPr>
            </w:pPr>
            <w:r w:rsidRPr="00B40734">
              <w:rPr>
                <w:rFonts w:cs="Arial"/>
                <w:b/>
              </w:rPr>
              <w:t>SDRA</w:t>
            </w:r>
          </w:p>
        </w:tc>
        <w:tc>
          <w:tcPr>
            <w:tcW w:w="1537" w:type="dxa"/>
            <w:tcMar>
              <w:top w:w="0" w:type="dxa"/>
              <w:left w:w="108" w:type="dxa"/>
              <w:bottom w:w="0" w:type="dxa"/>
              <w:right w:w="108" w:type="dxa"/>
            </w:tcMar>
            <w:hideMark/>
          </w:tcPr>
          <w:p w14:paraId="41F82371" w14:textId="77777777" w:rsidR="00A238EE" w:rsidRPr="00B40734" w:rsidRDefault="00A238EE" w:rsidP="00A238EE">
            <w:pPr>
              <w:jc w:val="center"/>
              <w:rPr>
                <w:rFonts w:cs="Arial"/>
                <w:b/>
              </w:rPr>
            </w:pPr>
            <w:r w:rsidRPr="00B40734">
              <w:rPr>
                <w:rFonts w:cs="Arial"/>
                <w:b/>
              </w:rPr>
              <w:t>No. of office applications granted</w:t>
            </w:r>
          </w:p>
        </w:tc>
        <w:tc>
          <w:tcPr>
            <w:tcW w:w="1691" w:type="dxa"/>
            <w:tcMar>
              <w:top w:w="0" w:type="dxa"/>
              <w:left w:w="108" w:type="dxa"/>
              <w:bottom w:w="0" w:type="dxa"/>
              <w:right w:w="108" w:type="dxa"/>
            </w:tcMar>
            <w:hideMark/>
          </w:tcPr>
          <w:p w14:paraId="67748236" w14:textId="77777777" w:rsidR="00A238EE" w:rsidRPr="00B40734" w:rsidRDefault="00A238EE" w:rsidP="00A238EE">
            <w:pPr>
              <w:jc w:val="center"/>
              <w:rPr>
                <w:rFonts w:cs="Arial"/>
                <w:b/>
              </w:rPr>
            </w:pPr>
            <w:r w:rsidRPr="00B40734">
              <w:rPr>
                <w:rFonts w:cs="Arial"/>
                <w:b/>
              </w:rPr>
              <w:t>Total floor area (sqm)</w:t>
            </w:r>
          </w:p>
        </w:tc>
      </w:tr>
      <w:tr w:rsidR="00A238EE" w:rsidRPr="00B40734" w14:paraId="477BE52F" w14:textId="77777777" w:rsidTr="00A238EE">
        <w:trPr>
          <w:cantSplit/>
          <w:jc w:val="center"/>
        </w:trPr>
        <w:tc>
          <w:tcPr>
            <w:tcW w:w="3566" w:type="dxa"/>
            <w:tcMar>
              <w:top w:w="0" w:type="dxa"/>
              <w:left w:w="108" w:type="dxa"/>
              <w:bottom w:w="0" w:type="dxa"/>
              <w:right w:w="108" w:type="dxa"/>
            </w:tcMar>
            <w:hideMark/>
          </w:tcPr>
          <w:p w14:paraId="4C5B1D80" w14:textId="77777777" w:rsidR="00A238EE" w:rsidRPr="00B40734" w:rsidRDefault="00A238EE" w:rsidP="00A238EE">
            <w:pPr>
              <w:jc w:val="left"/>
              <w:rPr>
                <w:rFonts w:cs="Arial"/>
              </w:rPr>
            </w:pPr>
            <w:proofErr w:type="spellStart"/>
            <w:r w:rsidRPr="00B40734">
              <w:rPr>
                <w:rFonts w:cs="Arial"/>
              </w:rPr>
              <w:t>Clongriffin</w:t>
            </w:r>
            <w:proofErr w:type="spellEnd"/>
            <w:r w:rsidRPr="00B40734">
              <w:rPr>
                <w:rFonts w:cs="Arial"/>
              </w:rPr>
              <w:t>/</w:t>
            </w:r>
            <w:proofErr w:type="spellStart"/>
            <w:r w:rsidRPr="00B40734">
              <w:rPr>
                <w:rFonts w:cs="Arial"/>
              </w:rPr>
              <w:t>Belmayne</w:t>
            </w:r>
            <w:proofErr w:type="spellEnd"/>
          </w:p>
        </w:tc>
        <w:tc>
          <w:tcPr>
            <w:tcW w:w="1537" w:type="dxa"/>
            <w:tcMar>
              <w:top w:w="0" w:type="dxa"/>
              <w:left w:w="108" w:type="dxa"/>
              <w:bottom w:w="0" w:type="dxa"/>
              <w:right w:w="108" w:type="dxa"/>
            </w:tcMar>
          </w:tcPr>
          <w:p w14:paraId="5E879156"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11DF8848" w14:textId="77777777" w:rsidR="00A238EE" w:rsidRPr="00720329" w:rsidRDefault="00A238EE" w:rsidP="00A238EE">
            <w:pPr>
              <w:jc w:val="center"/>
              <w:rPr>
                <w:rFonts w:cs="Arial"/>
              </w:rPr>
            </w:pPr>
            <w:r w:rsidRPr="00720329">
              <w:rPr>
                <w:rFonts w:cs="Arial"/>
              </w:rPr>
              <w:t>-</w:t>
            </w:r>
          </w:p>
        </w:tc>
      </w:tr>
      <w:tr w:rsidR="00A238EE" w:rsidRPr="00B40734" w14:paraId="635CC99C" w14:textId="77777777" w:rsidTr="00A238EE">
        <w:trPr>
          <w:cantSplit/>
          <w:jc w:val="center"/>
        </w:trPr>
        <w:tc>
          <w:tcPr>
            <w:tcW w:w="3566" w:type="dxa"/>
            <w:tcMar>
              <w:top w:w="0" w:type="dxa"/>
              <w:left w:w="108" w:type="dxa"/>
              <w:bottom w:w="0" w:type="dxa"/>
              <w:right w:w="108" w:type="dxa"/>
            </w:tcMar>
            <w:hideMark/>
          </w:tcPr>
          <w:p w14:paraId="77140A4C" w14:textId="77777777" w:rsidR="00A238EE" w:rsidRPr="00B40734" w:rsidRDefault="00A238EE" w:rsidP="00A238EE">
            <w:pPr>
              <w:jc w:val="left"/>
              <w:rPr>
                <w:rFonts w:cs="Arial"/>
              </w:rPr>
            </w:pPr>
            <w:r w:rsidRPr="00B40734">
              <w:rPr>
                <w:rFonts w:cs="Arial"/>
              </w:rPr>
              <w:t>Ballymun</w:t>
            </w:r>
          </w:p>
        </w:tc>
        <w:tc>
          <w:tcPr>
            <w:tcW w:w="1537" w:type="dxa"/>
            <w:tcMar>
              <w:top w:w="0" w:type="dxa"/>
              <w:left w:w="108" w:type="dxa"/>
              <w:bottom w:w="0" w:type="dxa"/>
              <w:right w:w="108" w:type="dxa"/>
            </w:tcMar>
          </w:tcPr>
          <w:p w14:paraId="56DBF7B9" w14:textId="77777777" w:rsidR="00A238EE" w:rsidRPr="00720329" w:rsidRDefault="00A238EE" w:rsidP="00A238EE">
            <w:pPr>
              <w:jc w:val="center"/>
              <w:rPr>
                <w:rFonts w:cs="Arial"/>
              </w:rPr>
            </w:pPr>
            <w:r w:rsidRPr="00720329">
              <w:rPr>
                <w:rFonts w:cs="Arial"/>
              </w:rPr>
              <w:t>1</w:t>
            </w:r>
          </w:p>
        </w:tc>
        <w:tc>
          <w:tcPr>
            <w:tcW w:w="1691" w:type="dxa"/>
            <w:tcMar>
              <w:top w:w="0" w:type="dxa"/>
              <w:left w:w="108" w:type="dxa"/>
              <w:bottom w:w="0" w:type="dxa"/>
              <w:right w:w="108" w:type="dxa"/>
            </w:tcMar>
          </w:tcPr>
          <w:p w14:paraId="4FBB669F" w14:textId="77777777" w:rsidR="00A238EE" w:rsidRPr="00720329" w:rsidRDefault="00A238EE" w:rsidP="00A238EE">
            <w:pPr>
              <w:jc w:val="center"/>
              <w:rPr>
                <w:rFonts w:cs="Arial"/>
              </w:rPr>
            </w:pPr>
            <w:r w:rsidRPr="00720329">
              <w:rPr>
                <w:rFonts w:cs="Arial"/>
              </w:rPr>
              <w:t>95</w:t>
            </w:r>
          </w:p>
        </w:tc>
      </w:tr>
      <w:tr w:rsidR="00A238EE" w:rsidRPr="00B40734" w14:paraId="1641BF6E" w14:textId="77777777" w:rsidTr="00A238EE">
        <w:trPr>
          <w:cantSplit/>
          <w:jc w:val="center"/>
        </w:trPr>
        <w:tc>
          <w:tcPr>
            <w:tcW w:w="3566" w:type="dxa"/>
            <w:tcMar>
              <w:top w:w="0" w:type="dxa"/>
              <w:left w:w="108" w:type="dxa"/>
              <w:bottom w:w="0" w:type="dxa"/>
              <w:right w:w="108" w:type="dxa"/>
            </w:tcMar>
            <w:hideMark/>
          </w:tcPr>
          <w:p w14:paraId="79AF5C6E" w14:textId="77777777" w:rsidR="00A238EE" w:rsidRPr="00B40734" w:rsidRDefault="00A238EE" w:rsidP="00A238EE">
            <w:pPr>
              <w:jc w:val="left"/>
              <w:rPr>
                <w:rFonts w:cs="Arial"/>
              </w:rPr>
            </w:pPr>
            <w:r w:rsidRPr="00B40734">
              <w:rPr>
                <w:rFonts w:cs="Arial"/>
              </w:rPr>
              <w:t>Finglas Village and Jamestown Road</w:t>
            </w:r>
          </w:p>
        </w:tc>
        <w:tc>
          <w:tcPr>
            <w:tcW w:w="1537" w:type="dxa"/>
            <w:tcMar>
              <w:top w:w="0" w:type="dxa"/>
              <w:left w:w="108" w:type="dxa"/>
              <w:bottom w:w="0" w:type="dxa"/>
              <w:right w:w="108" w:type="dxa"/>
            </w:tcMar>
          </w:tcPr>
          <w:p w14:paraId="5779E457" w14:textId="77777777" w:rsidR="00A238EE" w:rsidRPr="00720329" w:rsidRDefault="00A238EE" w:rsidP="00A238EE">
            <w:pPr>
              <w:jc w:val="center"/>
              <w:rPr>
                <w:rFonts w:cs="Arial"/>
              </w:rPr>
            </w:pPr>
            <w:r w:rsidRPr="00720329">
              <w:rPr>
                <w:rFonts w:cs="Arial"/>
              </w:rPr>
              <w:t>1</w:t>
            </w:r>
          </w:p>
        </w:tc>
        <w:tc>
          <w:tcPr>
            <w:tcW w:w="1691" w:type="dxa"/>
            <w:tcMar>
              <w:top w:w="0" w:type="dxa"/>
              <w:left w:w="108" w:type="dxa"/>
              <w:bottom w:w="0" w:type="dxa"/>
              <w:right w:w="108" w:type="dxa"/>
            </w:tcMar>
          </w:tcPr>
          <w:p w14:paraId="7A39CB86" w14:textId="3D804AAA" w:rsidR="00A238EE" w:rsidRPr="00720329" w:rsidRDefault="00A238EE" w:rsidP="00A238EE">
            <w:pPr>
              <w:jc w:val="center"/>
              <w:rPr>
                <w:rFonts w:cs="Arial"/>
              </w:rPr>
            </w:pPr>
            <w:r w:rsidRPr="00720329">
              <w:rPr>
                <w:rFonts w:cs="Arial"/>
              </w:rPr>
              <w:t>4</w:t>
            </w:r>
            <w:r w:rsidR="00097F7F">
              <w:rPr>
                <w:rFonts w:cs="Arial"/>
              </w:rPr>
              <w:t>,</w:t>
            </w:r>
            <w:r w:rsidRPr="00720329">
              <w:rPr>
                <w:rFonts w:cs="Arial"/>
              </w:rPr>
              <w:t>168</w:t>
            </w:r>
          </w:p>
        </w:tc>
      </w:tr>
      <w:tr w:rsidR="00A238EE" w:rsidRPr="00B40734" w14:paraId="5AAAEC9E" w14:textId="77777777" w:rsidTr="00A238EE">
        <w:trPr>
          <w:cantSplit/>
          <w:jc w:val="center"/>
        </w:trPr>
        <w:tc>
          <w:tcPr>
            <w:tcW w:w="3566" w:type="dxa"/>
            <w:tcMar>
              <w:top w:w="0" w:type="dxa"/>
              <w:left w:w="108" w:type="dxa"/>
              <w:bottom w:w="0" w:type="dxa"/>
              <w:right w:w="108" w:type="dxa"/>
            </w:tcMar>
          </w:tcPr>
          <w:p w14:paraId="73599A3A" w14:textId="77777777" w:rsidR="00A238EE" w:rsidRPr="00B40734" w:rsidRDefault="00A238EE" w:rsidP="00A238EE">
            <w:pPr>
              <w:jc w:val="left"/>
              <w:rPr>
                <w:rFonts w:cs="Arial"/>
              </w:rPr>
            </w:pPr>
            <w:r w:rsidRPr="00B40734">
              <w:rPr>
                <w:rFonts w:cs="Arial"/>
              </w:rPr>
              <w:t>Park West/Cherry Orchard</w:t>
            </w:r>
          </w:p>
        </w:tc>
        <w:tc>
          <w:tcPr>
            <w:tcW w:w="1537" w:type="dxa"/>
            <w:tcMar>
              <w:top w:w="0" w:type="dxa"/>
              <w:left w:w="108" w:type="dxa"/>
              <w:bottom w:w="0" w:type="dxa"/>
              <w:right w:w="108" w:type="dxa"/>
            </w:tcMar>
          </w:tcPr>
          <w:p w14:paraId="4F7E96E9"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46703B97" w14:textId="77777777" w:rsidR="00A238EE" w:rsidRPr="00720329" w:rsidRDefault="00A238EE" w:rsidP="00A238EE">
            <w:pPr>
              <w:jc w:val="center"/>
              <w:rPr>
                <w:rFonts w:cs="Arial"/>
              </w:rPr>
            </w:pPr>
            <w:r w:rsidRPr="00720329">
              <w:rPr>
                <w:rFonts w:cs="Arial"/>
              </w:rPr>
              <w:t>-</w:t>
            </w:r>
          </w:p>
        </w:tc>
      </w:tr>
      <w:tr w:rsidR="00A238EE" w:rsidRPr="00B40734" w14:paraId="2BA48669" w14:textId="77777777" w:rsidTr="00A238EE">
        <w:trPr>
          <w:cantSplit/>
          <w:jc w:val="center"/>
        </w:trPr>
        <w:tc>
          <w:tcPr>
            <w:tcW w:w="3566" w:type="dxa"/>
            <w:tcMar>
              <w:top w:w="0" w:type="dxa"/>
              <w:left w:w="108" w:type="dxa"/>
              <w:bottom w:w="0" w:type="dxa"/>
              <w:right w:w="108" w:type="dxa"/>
            </w:tcMar>
          </w:tcPr>
          <w:p w14:paraId="6A443E4A" w14:textId="77777777" w:rsidR="00A238EE" w:rsidRPr="00B40734" w:rsidRDefault="00A238EE" w:rsidP="00A238EE">
            <w:pPr>
              <w:jc w:val="left"/>
              <w:rPr>
                <w:rFonts w:cs="Arial"/>
              </w:rPr>
            </w:pPr>
            <w:r w:rsidRPr="00B40734">
              <w:rPr>
                <w:rFonts w:cs="Arial"/>
              </w:rPr>
              <w:t>Naas Road</w:t>
            </w:r>
          </w:p>
        </w:tc>
        <w:tc>
          <w:tcPr>
            <w:tcW w:w="1537" w:type="dxa"/>
            <w:tcMar>
              <w:top w:w="0" w:type="dxa"/>
              <w:left w:w="108" w:type="dxa"/>
              <w:bottom w:w="0" w:type="dxa"/>
              <w:right w:w="108" w:type="dxa"/>
            </w:tcMar>
          </w:tcPr>
          <w:p w14:paraId="5716955E"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186D13FD" w14:textId="77777777" w:rsidR="00A238EE" w:rsidRPr="00720329" w:rsidRDefault="00A238EE" w:rsidP="00A238EE">
            <w:pPr>
              <w:jc w:val="center"/>
              <w:rPr>
                <w:rFonts w:cs="Arial"/>
              </w:rPr>
            </w:pPr>
            <w:r w:rsidRPr="00720329">
              <w:rPr>
                <w:rFonts w:cs="Arial"/>
              </w:rPr>
              <w:t>-</w:t>
            </w:r>
          </w:p>
        </w:tc>
      </w:tr>
      <w:tr w:rsidR="00A238EE" w:rsidRPr="00B40734" w14:paraId="2BBEEF7D" w14:textId="77777777" w:rsidTr="00A238EE">
        <w:trPr>
          <w:cantSplit/>
          <w:jc w:val="center"/>
        </w:trPr>
        <w:tc>
          <w:tcPr>
            <w:tcW w:w="3566" w:type="dxa"/>
            <w:tcMar>
              <w:top w:w="0" w:type="dxa"/>
              <w:left w:w="108" w:type="dxa"/>
              <w:bottom w:w="0" w:type="dxa"/>
              <w:right w:w="108" w:type="dxa"/>
            </w:tcMar>
          </w:tcPr>
          <w:p w14:paraId="61C53825" w14:textId="77777777" w:rsidR="00A238EE" w:rsidRPr="00B40734" w:rsidRDefault="00A238EE" w:rsidP="00A238EE">
            <w:pPr>
              <w:jc w:val="left"/>
              <w:rPr>
                <w:rFonts w:cs="Arial"/>
              </w:rPr>
            </w:pPr>
            <w:r w:rsidRPr="00B40734">
              <w:rPr>
                <w:rFonts w:cs="Arial"/>
              </w:rPr>
              <w:t>Docklands</w:t>
            </w:r>
          </w:p>
        </w:tc>
        <w:tc>
          <w:tcPr>
            <w:tcW w:w="1537" w:type="dxa"/>
            <w:tcMar>
              <w:top w:w="0" w:type="dxa"/>
              <w:left w:w="108" w:type="dxa"/>
              <w:bottom w:w="0" w:type="dxa"/>
              <w:right w:w="108" w:type="dxa"/>
            </w:tcMar>
          </w:tcPr>
          <w:p w14:paraId="6607C0A6" w14:textId="77777777" w:rsidR="00A238EE" w:rsidRPr="00720329" w:rsidRDefault="00A238EE" w:rsidP="00A238EE">
            <w:pPr>
              <w:jc w:val="center"/>
              <w:rPr>
                <w:rFonts w:cs="Arial"/>
              </w:rPr>
            </w:pPr>
            <w:r w:rsidRPr="00720329">
              <w:rPr>
                <w:rFonts w:cs="Arial"/>
              </w:rPr>
              <w:t>2</w:t>
            </w:r>
          </w:p>
        </w:tc>
        <w:tc>
          <w:tcPr>
            <w:tcW w:w="1691" w:type="dxa"/>
            <w:tcMar>
              <w:top w:w="0" w:type="dxa"/>
              <w:left w:w="108" w:type="dxa"/>
              <w:bottom w:w="0" w:type="dxa"/>
              <w:right w:w="108" w:type="dxa"/>
            </w:tcMar>
          </w:tcPr>
          <w:p w14:paraId="52769F02" w14:textId="77777777" w:rsidR="00A238EE" w:rsidRPr="00720329" w:rsidRDefault="00A238EE" w:rsidP="00A238EE">
            <w:pPr>
              <w:jc w:val="center"/>
              <w:rPr>
                <w:rFonts w:cs="Arial"/>
              </w:rPr>
            </w:pPr>
            <w:r w:rsidRPr="00720329">
              <w:rPr>
                <w:rFonts w:cs="Arial"/>
              </w:rPr>
              <w:t>45,498</w:t>
            </w:r>
          </w:p>
        </w:tc>
      </w:tr>
      <w:tr w:rsidR="00A238EE" w:rsidRPr="00B40734" w14:paraId="456CCB3A" w14:textId="77777777" w:rsidTr="00A238EE">
        <w:trPr>
          <w:cantSplit/>
          <w:jc w:val="center"/>
        </w:trPr>
        <w:tc>
          <w:tcPr>
            <w:tcW w:w="3566" w:type="dxa"/>
            <w:tcMar>
              <w:top w:w="0" w:type="dxa"/>
              <w:left w:w="108" w:type="dxa"/>
              <w:bottom w:w="0" w:type="dxa"/>
              <w:right w:w="108" w:type="dxa"/>
            </w:tcMar>
          </w:tcPr>
          <w:p w14:paraId="56F64721" w14:textId="77777777" w:rsidR="00A238EE" w:rsidRPr="00B40734" w:rsidRDefault="00A238EE" w:rsidP="00A238EE">
            <w:pPr>
              <w:jc w:val="left"/>
              <w:rPr>
                <w:rFonts w:cs="Arial"/>
              </w:rPr>
            </w:pPr>
            <w:r w:rsidRPr="00B40734">
              <w:rPr>
                <w:rFonts w:cs="Arial"/>
              </w:rPr>
              <w:t>Heuston Station</w:t>
            </w:r>
          </w:p>
        </w:tc>
        <w:tc>
          <w:tcPr>
            <w:tcW w:w="1537" w:type="dxa"/>
            <w:tcMar>
              <w:top w:w="0" w:type="dxa"/>
              <w:left w:w="108" w:type="dxa"/>
              <w:bottom w:w="0" w:type="dxa"/>
              <w:right w:w="108" w:type="dxa"/>
            </w:tcMar>
          </w:tcPr>
          <w:p w14:paraId="4113AA16" w14:textId="77777777" w:rsidR="00A238EE" w:rsidRPr="00720329" w:rsidRDefault="00A238EE" w:rsidP="00A238EE">
            <w:pPr>
              <w:jc w:val="center"/>
              <w:rPr>
                <w:rFonts w:cs="Arial"/>
              </w:rPr>
            </w:pPr>
            <w:r w:rsidRPr="00720329">
              <w:rPr>
                <w:rFonts w:cs="Arial"/>
              </w:rPr>
              <w:t>1</w:t>
            </w:r>
          </w:p>
        </w:tc>
        <w:tc>
          <w:tcPr>
            <w:tcW w:w="1691" w:type="dxa"/>
            <w:tcMar>
              <w:top w:w="0" w:type="dxa"/>
              <w:left w:w="108" w:type="dxa"/>
              <w:bottom w:w="0" w:type="dxa"/>
              <w:right w:w="108" w:type="dxa"/>
            </w:tcMar>
          </w:tcPr>
          <w:p w14:paraId="2A70D374" w14:textId="77777777" w:rsidR="00A238EE" w:rsidRPr="00720329" w:rsidRDefault="00A238EE" w:rsidP="00A238EE">
            <w:pPr>
              <w:jc w:val="center"/>
              <w:rPr>
                <w:rFonts w:cs="Arial"/>
              </w:rPr>
            </w:pPr>
            <w:r w:rsidRPr="00720329">
              <w:rPr>
                <w:rFonts w:cs="Arial"/>
              </w:rPr>
              <w:t>19,474</w:t>
            </w:r>
          </w:p>
        </w:tc>
      </w:tr>
      <w:tr w:rsidR="00A238EE" w:rsidRPr="00B40734" w14:paraId="4D41EAB8" w14:textId="77777777" w:rsidTr="00A238EE">
        <w:trPr>
          <w:cantSplit/>
          <w:jc w:val="center"/>
        </w:trPr>
        <w:tc>
          <w:tcPr>
            <w:tcW w:w="3566" w:type="dxa"/>
            <w:tcMar>
              <w:top w:w="0" w:type="dxa"/>
              <w:left w:w="108" w:type="dxa"/>
              <w:bottom w:w="0" w:type="dxa"/>
              <w:right w:w="108" w:type="dxa"/>
            </w:tcMar>
          </w:tcPr>
          <w:p w14:paraId="79BD51D9" w14:textId="77777777" w:rsidR="00A238EE" w:rsidRPr="00B40734" w:rsidRDefault="00A238EE" w:rsidP="00A238EE">
            <w:pPr>
              <w:jc w:val="left"/>
              <w:rPr>
                <w:rFonts w:cs="Arial"/>
              </w:rPr>
            </w:pPr>
            <w:proofErr w:type="spellStart"/>
            <w:r w:rsidRPr="00B40734">
              <w:rPr>
                <w:rFonts w:cs="Arial"/>
              </w:rPr>
              <w:t>Grangegorman</w:t>
            </w:r>
            <w:proofErr w:type="spellEnd"/>
            <w:r w:rsidRPr="00B40734">
              <w:rPr>
                <w:rFonts w:cs="Arial"/>
              </w:rPr>
              <w:t>/Broadstone</w:t>
            </w:r>
          </w:p>
        </w:tc>
        <w:tc>
          <w:tcPr>
            <w:tcW w:w="1537" w:type="dxa"/>
            <w:tcMar>
              <w:top w:w="0" w:type="dxa"/>
              <w:left w:w="108" w:type="dxa"/>
              <w:bottom w:w="0" w:type="dxa"/>
              <w:right w:w="108" w:type="dxa"/>
            </w:tcMar>
          </w:tcPr>
          <w:p w14:paraId="6EF9F39B" w14:textId="77777777" w:rsidR="00A238EE" w:rsidRPr="00720329" w:rsidRDefault="00A238EE" w:rsidP="00A238EE">
            <w:pPr>
              <w:jc w:val="center"/>
              <w:rPr>
                <w:rFonts w:cs="Arial"/>
              </w:rPr>
            </w:pPr>
            <w:r w:rsidRPr="00720329">
              <w:rPr>
                <w:rFonts w:cs="Arial"/>
              </w:rPr>
              <w:t>1</w:t>
            </w:r>
          </w:p>
        </w:tc>
        <w:tc>
          <w:tcPr>
            <w:tcW w:w="1691" w:type="dxa"/>
            <w:tcMar>
              <w:top w:w="0" w:type="dxa"/>
              <w:left w:w="108" w:type="dxa"/>
              <w:bottom w:w="0" w:type="dxa"/>
              <w:right w:w="108" w:type="dxa"/>
            </w:tcMar>
          </w:tcPr>
          <w:p w14:paraId="0603723B" w14:textId="77777777" w:rsidR="00A238EE" w:rsidRPr="00720329" w:rsidRDefault="00A238EE" w:rsidP="00A238EE">
            <w:pPr>
              <w:jc w:val="center"/>
              <w:rPr>
                <w:rFonts w:cs="Arial"/>
              </w:rPr>
            </w:pPr>
            <w:r w:rsidRPr="00720329">
              <w:rPr>
                <w:rFonts w:cs="Arial"/>
              </w:rPr>
              <w:t>51,026</w:t>
            </w:r>
          </w:p>
        </w:tc>
      </w:tr>
      <w:tr w:rsidR="00A238EE" w:rsidRPr="00B40734" w14:paraId="20E7759C" w14:textId="77777777" w:rsidTr="00A238EE">
        <w:trPr>
          <w:cantSplit/>
          <w:jc w:val="center"/>
        </w:trPr>
        <w:tc>
          <w:tcPr>
            <w:tcW w:w="3566" w:type="dxa"/>
            <w:tcMar>
              <w:top w:w="0" w:type="dxa"/>
              <w:left w:w="108" w:type="dxa"/>
              <w:bottom w:w="0" w:type="dxa"/>
              <w:right w:w="108" w:type="dxa"/>
            </w:tcMar>
          </w:tcPr>
          <w:p w14:paraId="74D671E7" w14:textId="77777777" w:rsidR="00A238EE" w:rsidRPr="00B40734" w:rsidRDefault="00A238EE" w:rsidP="00A238EE">
            <w:pPr>
              <w:jc w:val="left"/>
              <w:rPr>
                <w:rFonts w:cs="Arial"/>
              </w:rPr>
            </w:pPr>
            <w:r w:rsidRPr="00B40734">
              <w:rPr>
                <w:rFonts w:cs="Arial"/>
              </w:rPr>
              <w:t>Emmet Road</w:t>
            </w:r>
          </w:p>
        </w:tc>
        <w:tc>
          <w:tcPr>
            <w:tcW w:w="1537" w:type="dxa"/>
            <w:tcMar>
              <w:top w:w="0" w:type="dxa"/>
              <w:left w:w="108" w:type="dxa"/>
              <w:bottom w:w="0" w:type="dxa"/>
              <w:right w:w="108" w:type="dxa"/>
            </w:tcMar>
          </w:tcPr>
          <w:p w14:paraId="61DC9BAF"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674D70A6" w14:textId="77777777" w:rsidR="00A238EE" w:rsidRPr="00720329" w:rsidRDefault="00A238EE" w:rsidP="00A238EE">
            <w:pPr>
              <w:jc w:val="center"/>
              <w:rPr>
                <w:rFonts w:cs="Arial"/>
              </w:rPr>
            </w:pPr>
            <w:r w:rsidRPr="00720329">
              <w:rPr>
                <w:rFonts w:cs="Arial"/>
              </w:rPr>
              <w:t>-</w:t>
            </w:r>
          </w:p>
        </w:tc>
      </w:tr>
      <w:tr w:rsidR="00A238EE" w:rsidRPr="00B40734" w14:paraId="5E37915C" w14:textId="77777777" w:rsidTr="00A238EE">
        <w:trPr>
          <w:cantSplit/>
          <w:jc w:val="center"/>
        </w:trPr>
        <w:tc>
          <w:tcPr>
            <w:tcW w:w="3566" w:type="dxa"/>
            <w:tcMar>
              <w:top w:w="0" w:type="dxa"/>
              <w:left w:w="108" w:type="dxa"/>
              <w:bottom w:w="0" w:type="dxa"/>
              <w:right w:w="108" w:type="dxa"/>
            </w:tcMar>
          </w:tcPr>
          <w:p w14:paraId="6A97AB53" w14:textId="77777777" w:rsidR="00A238EE" w:rsidRPr="00B40734" w:rsidRDefault="00A238EE" w:rsidP="00A238EE">
            <w:pPr>
              <w:jc w:val="left"/>
              <w:rPr>
                <w:rFonts w:cs="Arial"/>
              </w:rPr>
            </w:pPr>
            <w:r w:rsidRPr="00B40734">
              <w:rPr>
                <w:rFonts w:cs="Arial"/>
              </w:rPr>
              <w:t>Northeast Inner City</w:t>
            </w:r>
          </w:p>
        </w:tc>
        <w:tc>
          <w:tcPr>
            <w:tcW w:w="1537" w:type="dxa"/>
            <w:tcMar>
              <w:top w:w="0" w:type="dxa"/>
              <w:left w:w="108" w:type="dxa"/>
              <w:bottom w:w="0" w:type="dxa"/>
              <w:right w:w="108" w:type="dxa"/>
            </w:tcMar>
          </w:tcPr>
          <w:p w14:paraId="57947E32" w14:textId="77777777" w:rsidR="00A238EE" w:rsidRPr="00720329" w:rsidRDefault="00A238EE" w:rsidP="00A238EE">
            <w:pPr>
              <w:jc w:val="center"/>
              <w:rPr>
                <w:rFonts w:cs="Arial"/>
              </w:rPr>
            </w:pPr>
            <w:r w:rsidRPr="00720329">
              <w:rPr>
                <w:rFonts w:cs="Arial"/>
              </w:rPr>
              <w:t>2</w:t>
            </w:r>
          </w:p>
        </w:tc>
        <w:tc>
          <w:tcPr>
            <w:tcW w:w="1691" w:type="dxa"/>
            <w:tcMar>
              <w:top w:w="0" w:type="dxa"/>
              <w:left w:w="108" w:type="dxa"/>
              <w:bottom w:w="0" w:type="dxa"/>
              <w:right w:w="108" w:type="dxa"/>
            </w:tcMar>
          </w:tcPr>
          <w:p w14:paraId="76BA2558" w14:textId="77777777" w:rsidR="00A238EE" w:rsidRPr="00720329" w:rsidRDefault="00A238EE" w:rsidP="00A238EE">
            <w:pPr>
              <w:jc w:val="center"/>
              <w:rPr>
                <w:rFonts w:cs="Arial"/>
              </w:rPr>
            </w:pPr>
            <w:r w:rsidRPr="00720329">
              <w:rPr>
                <w:rFonts w:cs="Arial"/>
              </w:rPr>
              <w:t>5,974</w:t>
            </w:r>
          </w:p>
        </w:tc>
      </w:tr>
      <w:tr w:rsidR="00A238EE" w:rsidRPr="00B40734" w14:paraId="528614C3" w14:textId="77777777" w:rsidTr="00A238EE">
        <w:trPr>
          <w:cantSplit/>
          <w:jc w:val="center"/>
        </w:trPr>
        <w:tc>
          <w:tcPr>
            <w:tcW w:w="3566" w:type="dxa"/>
            <w:tcMar>
              <w:top w:w="0" w:type="dxa"/>
              <w:left w:w="108" w:type="dxa"/>
              <w:bottom w:w="0" w:type="dxa"/>
              <w:right w:w="108" w:type="dxa"/>
            </w:tcMar>
          </w:tcPr>
          <w:p w14:paraId="14D061F2" w14:textId="77777777" w:rsidR="00A238EE" w:rsidRPr="00B40734" w:rsidRDefault="00A238EE" w:rsidP="00A238EE">
            <w:pPr>
              <w:jc w:val="left"/>
              <w:rPr>
                <w:rFonts w:cs="Arial"/>
              </w:rPr>
            </w:pPr>
            <w:r w:rsidRPr="00B40734">
              <w:rPr>
                <w:rFonts w:cs="Arial"/>
              </w:rPr>
              <w:t xml:space="preserve">St. Teresa’s Gardens and Environs </w:t>
            </w:r>
          </w:p>
        </w:tc>
        <w:tc>
          <w:tcPr>
            <w:tcW w:w="1537" w:type="dxa"/>
            <w:tcMar>
              <w:top w:w="0" w:type="dxa"/>
              <w:left w:w="108" w:type="dxa"/>
              <w:bottom w:w="0" w:type="dxa"/>
              <w:right w:w="108" w:type="dxa"/>
            </w:tcMar>
          </w:tcPr>
          <w:p w14:paraId="194A4D7E"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528BA6AD" w14:textId="77777777" w:rsidR="00A238EE" w:rsidRPr="00720329" w:rsidRDefault="00A238EE" w:rsidP="00A238EE">
            <w:pPr>
              <w:jc w:val="center"/>
              <w:rPr>
                <w:rFonts w:cs="Arial"/>
              </w:rPr>
            </w:pPr>
            <w:r w:rsidRPr="00720329">
              <w:rPr>
                <w:rFonts w:cs="Arial"/>
              </w:rPr>
              <w:t>-</w:t>
            </w:r>
          </w:p>
        </w:tc>
      </w:tr>
      <w:tr w:rsidR="00A238EE" w:rsidRPr="00B40734" w14:paraId="66C49992" w14:textId="77777777" w:rsidTr="00A238EE">
        <w:trPr>
          <w:cantSplit/>
          <w:jc w:val="center"/>
        </w:trPr>
        <w:tc>
          <w:tcPr>
            <w:tcW w:w="3566" w:type="dxa"/>
            <w:tcMar>
              <w:top w:w="0" w:type="dxa"/>
              <w:left w:w="108" w:type="dxa"/>
              <w:bottom w:w="0" w:type="dxa"/>
              <w:right w:w="108" w:type="dxa"/>
            </w:tcMar>
          </w:tcPr>
          <w:p w14:paraId="7CD7557A" w14:textId="77777777" w:rsidR="00A238EE" w:rsidRPr="00B40734" w:rsidRDefault="00A238EE" w:rsidP="00A238EE">
            <w:pPr>
              <w:jc w:val="left"/>
              <w:rPr>
                <w:rFonts w:cs="Arial"/>
              </w:rPr>
            </w:pPr>
            <w:r w:rsidRPr="00B40734">
              <w:rPr>
                <w:rFonts w:cs="Arial"/>
              </w:rPr>
              <w:t>Dolphin House</w:t>
            </w:r>
          </w:p>
        </w:tc>
        <w:tc>
          <w:tcPr>
            <w:tcW w:w="1537" w:type="dxa"/>
            <w:tcMar>
              <w:top w:w="0" w:type="dxa"/>
              <w:left w:w="108" w:type="dxa"/>
              <w:bottom w:w="0" w:type="dxa"/>
              <w:right w:w="108" w:type="dxa"/>
            </w:tcMar>
          </w:tcPr>
          <w:p w14:paraId="6BF724F3"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03517365" w14:textId="77777777" w:rsidR="00A238EE" w:rsidRPr="00720329" w:rsidRDefault="00A238EE" w:rsidP="00A238EE">
            <w:pPr>
              <w:jc w:val="center"/>
              <w:rPr>
                <w:rFonts w:cs="Arial"/>
              </w:rPr>
            </w:pPr>
            <w:r w:rsidRPr="00720329">
              <w:rPr>
                <w:rFonts w:cs="Arial"/>
              </w:rPr>
              <w:t>-</w:t>
            </w:r>
          </w:p>
        </w:tc>
      </w:tr>
      <w:tr w:rsidR="00A238EE" w:rsidRPr="00B40734" w14:paraId="653D8686" w14:textId="77777777" w:rsidTr="00A238EE">
        <w:trPr>
          <w:cantSplit/>
          <w:jc w:val="center"/>
        </w:trPr>
        <w:tc>
          <w:tcPr>
            <w:tcW w:w="3566" w:type="dxa"/>
            <w:tcMar>
              <w:top w:w="0" w:type="dxa"/>
              <w:left w:w="108" w:type="dxa"/>
              <w:bottom w:w="0" w:type="dxa"/>
              <w:right w:w="108" w:type="dxa"/>
            </w:tcMar>
          </w:tcPr>
          <w:p w14:paraId="1F445281" w14:textId="77777777" w:rsidR="00A238EE" w:rsidRPr="00B40734" w:rsidRDefault="00A238EE" w:rsidP="00A238EE">
            <w:pPr>
              <w:jc w:val="left"/>
              <w:rPr>
                <w:rFonts w:cs="Arial"/>
              </w:rPr>
            </w:pPr>
            <w:r w:rsidRPr="00B40734">
              <w:rPr>
                <w:rFonts w:cs="Arial"/>
              </w:rPr>
              <w:t>Markets Area</w:t>
            </w:r>
          </w:p>
        </w:tc>
        <w:tc>
          <w:tcPr>
            <w:tcW w:w="1537" w:type="dxa"/>
            <w:tcMar>
              <w:top w:w="0" w:type="dxa"/>
              <w:left w:w="108" w:type="dxa"/>
              <w:bottom w:w="0" w:type="dxa"/>
              <w:right w:w="108" w:type="dxa"/>
            </w:tcMar>
          </w:tcPr>
          <w:p w14:paraId="1B1DEEE4"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66625401" w14:textId="77777777" w:rsidR="00A238EE" w:rsidRPr="00720329" w:rsidRDefault="00A238EE" w:rsidP="00A238EE">
            <w:pPr>
              <w:jc w:val="center"/>
              <w:rPr>
                <w:rFonts w:cs="Arial"/>
              </w:rPr>
            </w:pPr>
            <w:r w:rsidRPr="00720329">
              <w:rPr>
                <w:rFonts w:cs="Arial"/>
              </w:rPr>
              <w:t>-</w:t>
            </w:r>
          </w:p>
        </w:tc>
      </w:tr>
      <w:tr w:rsidR="00A238EE" w:rsidRPr="00B40734" w14:paraId="55B83D97" w14:textId="77777777" w:rsidTr="00A238EE">
        <w:trPr>
          <w:cantSplit/>
          <w:jc w:val="center"/>
        </w:trPr>
        <w:tc>
          <w:tcPr>
            <w:tcW w:w="3566" w:type="dxa"/>
            <w:tcMar>
              <w:top w:w="0" w:type="dxa"/>
              <w:left w:w="108" w:type="dxa"/>
              <w:bottom w:w="0" w:type="dxa"/>
              <w:right w:w="108" w:type="dxa"/>
            </w:tcMar>
          </w:tcPr>
          <w:p w14:paraId="045EAC8F" w14:textId="77777777" w:rsidR="00A238EE" w:rsidRPr="00B40734" w:rsidRDefault="00A238EE" w:rsidP="00A238EE">
            <w:pPr>
              <w:jc w:val="left"/>
              <w:rPr>
                <w:rFonts w:cs="Arial"/>
              </w:rPr>
            </w:pPr>
            <w:r w:rsidRPr="00B40734">
              <w:rPr>
                <w:rFonts w:cs="Arial"/>
              </w:rPr>
              <w:t>St. James's Campus</w:t>
            </w:r>
          </w:p>
        </w:tc>
        <w:tc>
          <w:tcPr>
            <w:tcW w:w="1537" w:type="dxa"/>
            <w:tcMar>
              <w:top w:w="0" w:type="dxa"/>
              <w:left w:w="108" w:type="dxa"/>
              <w:bottom w:w="0" w:type="dxa"/>
              <w:right w:w="108" w:type="dxa"/>
            </w:tcMar>
          </w:tcPr>
          <w:p w14:paraId="3F0E9050"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2CC326E7" w14:textId="77777777" w:rsidR="00A238EE" w:rsidRPr="00720329" w:rsidRDefault="00A238EE" w:rsidP="00A238EE">
            <w:pPr>
              <w:jc w:val="center"/>
              <w:rPr>
                <w:rFonts w:cs="Arial"/>
              </w:rPr>
            </w:pPr>
            <w:r w:rsidRPr="00720329">
              <w:rPr>
                <w:rFonts w:cs="Arial"/>
              </w:rPr>
              <w:t>-</w:t>
            </w:r>
          </w:p>
        </w:tc>
      </w:tr>
      <w:tr w:rsidR="00A238EE" w:rsidRPr="00B40734" w14:paraId="369A9CDC" w14:textId="77777777" w:rsidTr="00A238EE">
        <w:trPr>
          <w:cantSplit/>
          <w:jc w:val="center"/>
        </w:trPr>
        <w:tc>
          <w:tcPr>
            <w:tcW w:w="3566" w:type="dxa"/>
            <w:tcMar>
              <w:top w:w="0" w:type="dxa"/>
              <w:left w:w="108" w:type="dxa"/>
              <w:bottom w:w="0" w:type="dxa"/>
              <w:right w:w="108" w:type="dxa"/>
            </w:tcMar>
          </w:tcPr>
          <w:p w14:paraId="181FA33F" w14:textId="77777777" w:rsidR="00A238EE" w:rsidRPr="00B40734" w:rsidRDefault="00A238EE" w:rsidP="00A238EE">
            <w:pPr>
              <w:jc w:val="left"/>
              <w:rPr>
                <w:rFonts w:cs="Arial"/>
              </w:rPr>
            </w:pPr>
            <w:r w:rsidRPr="00B40734">
              <w:rPr>
                <w:rFonts w:cs="Arial"/>
              </w:rPr>
              <w:t>Liberties and Newmarket Square</w:t>
            </w:r>
          </w:p>
        </w:tc>
        <w:tc>
          <w:tcPr>
            <w:tcW w:w="1537" w:type="dxa"/>
            <w:tcMar>
              <w:top w:w="0" w:type="dxa"/>
              <w:left w:w="108" w:type="dxa"/>
              <w:bottom w:w="0" w:type="dxa"/>
              <w:right w:w="108" w:type="dxa"/>
            </w:tcMar>
          </w:tcPr>
          <w:p w14:paraId="10C6761D" w14:textId="77777777" w:rsidR="00A238EE" w:rsidRPr="00720329" w:rsidRDefault="00A238EE" w:rsidP="00A238EE">
            <w:pPr>
              <w:jc w:val="center"/>
              <w:rPr>
                <w:rFonts w:cs="Arial"/>
              </w:rPr>
            </w:pPr>
            <w:r w:rsidRPr="00720329">
              <w:rPr>
                <w:rFonts w:cs="Arial"/>
              </w:rPr>
              <w:t>3</w:t>
            </w:r>
          </w:p>
        </w:tc>
        <w:tc>
          <w:tcPr>
            <w:tcW w:w="1691" w:type="dxa"/>
            <w:tcMar>
              <w:top w:w="0" w:type="dxa"/>
              <w:left w:w="108" w:type="dxa"/>
              <w:bottom w:w="0" w:type="dxa"/>
              <w:right w:w="108" w:type="dxa"/>
            </w:tcMar>
          </w:tcPr>
          <w:p w14:paraId="28AE024A" w14:textId="77777777" w:rsidR="00A238EE" w:rsidRPr="00720329" w:rsidRDefault="00A238EE" w:rsidP="00A238EE">
            <w:pPr>
              <w:jc w:val="center"/>
              <w:rPr>
                <w:rFonts w:cs="Arial"/>
              </w:rPr>
            </w:pPr>
            <w:r w:rsidRPr="00720329">
              <w:rPr>
                <w:rFonts w:cs="Arial"/>
              </w:rPr>
              <w:t>261</w:t>
            </w:r>
          </w:p>
        </w:tc>
      </w:tr>
      <w:tr w:rsidR="00A238EE" w:rsidRPr="00B40734" w14:paraId="30AE7B78" w14:textId="77777777" w:rsidTr="00A238EE">
        <w:trPr>
          <w:cantSplit/>
          <w:jc w:val="center"/>
        </w:trPr>
        <w:tc>
          <w:tcPr>
            <w:tcW w:w="3566" w:type="dxa"/>
            <w:tcMar>
              <w:top w:w="0" w:type="dxa"/>
              <w:left w:w="108" w:type="dxa"/>
              <w:bottom w:w="0" w:type="dxa"/>
              <w:right w:w="108" w:type="dxa"/>
            </w:tcMar>
          </w:tcPr>
          <w:p w14:paraId="648084CD" w14:textId="77777777" w:rsidR="00A238EE" w:rsidRPr="00B40734" w:rsidRDefault="00A238EE" w:rsidP="00A238EE">
            <w:pPr>
              <w:jc w:val="left"/>
              <w:rPr>
                <w:rFonts w:cs="Arial"/>
              </w:rPr>
            </w:pPr>
            <w:r w:rsidRPr="00B40734">
              <w:rPr>
                <w:rFonts w:cs="Arial"/>
              </w:rPr>
              <w:t>Oscar Traynor Road</w:t>
            </w:r>
          </w:p>
        </w:tc>
        <w:tc>
          <w:tcPr>
            <w:tcW w:w="1537" w:type="dxa"/>
            <w:tcMar>
              <w:top w:w="0" w:type="dxa"/>
              <w:left w:w="108" w:type="dxa"/>
              <w:bottom w:w="0" w:type="dxa"/>
              <w:right w:w="108" w:type="dxa"/>
            </w:tcMar>
          </w:tcPr>
          <w:p w14:paraId="3173A75B"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3CE823B4" w14:textId="77777777" w:rsidR="00A238EE" w:rsidRPr="00720329" w:rsidRDefault="00A238EE" w:rsidP="00A238EE">
            <w:pPr>
              <w:jc w:val="center"/>
              <w:rPr>
                <w:rFonts w:cs="Arial"/>
              </w:rPr>
            </w:pPr>
            <w:r w:rsidRPr="00720329">
              <w:rPr>
                <w:rFonts w:cs="Arial"/>
              </w:rPr>
              <w:t>-</w:t>
            </w:r>
          </w:p>
        </w:tc>
      </w:tr>
      <w:tr w:rsidR="00A238EE" w:rsidRPr="00B40734" w14:paraId="6B8B2A2C" w14:textId="77777777" w:rsidTr="00A238EE">
        <w:trPr>
          <w:cantSplit/>
          <w:jc w:val="center"/>
        </w:trPr>
        <w:tc>
          <w:tcPr>
            <w:tcW w:w="3566" w:type="dxa"/>
            <w:tcMar>
              <w:top w:w="0" w:type="dxa"/>
              <w:left w:w="108" w:type="dxa"/>
              <w:bottom w:w="0" w:type="dxa"/>
              <w:right w:w="108" w:type="dxa"/>
            </w:tcMar>
          </w:tcPr>
          <w:p w14:paraId="30C38495" w14:textId="77777777" w:rsidR="00A238EE" w:rsidRPr="00B40734" w:rsidRDefault="00A238EE" w:rsidP="00A238EE">
            <w:pPr>
              <w:jc w:val="left"/>
              <w:rPr>
                <w:rFonts w:cs="Arial"/>
              </w:rPr>
            </w:pPr>
            <w:r w:rsidRPr="00B40734">
              <w:rPr>
                <w:rFonts w:cs="Arial"/>
              </w:rPr>
              <w:t>Werburgh Street</w:t>
            </w:r>
          </w:p>
        </w:tc>
        <w:tc>
          <w:tcPr>
            <w:tcW w:w="1537" w:type="dxa"/>
            <w:tcMar>
              <w:top w:w="0" w:type="dxa"/>
              <w:left w:w="108" w:type="dxa"/>
              <w:bottom w:w="0" w:type="dxa"/>
              <w:right w:w="108" w:type="dxa"/>
            </w:tcMar>
          </w:tcPr>
          <w:p w14:paraId="57C227BC" w14:textId="77777777" w:rsidR="00A238EE" w:rsidRPr="00720329" w:rsidRDefault="00A238EE" w:rsidP="00A238EE">
            <w:pPr>
              <w:jc w:val="center"/>
              <w:rPr>
                <w:rFonts w:cs="Arial"/>
              </w:rPr>
            </w:pPr>
            <w:r w:rsidRPr="00720329">
              <w:rPr>
                <w:rFonts w:cs="Arial"/>
              </w:rPr>
              <w:t>-</w:t>
            </w:r>
          </w:p>
        </w:tc>
        <w:tc>
          <w:tcPr>
            <w:tcW w:w="1691" w:type="dxa"/>
            <w:tcMar>
              <w:top w:w="0" w:type="dxa"/>
              <w:left w:w="108" w:type="dxa"/>
              <w:bottom w:w="0" w:type="dxa"/>
              <w:right w:w="108" w:type="dxa"/>
            </w:tcMar>
          </w:tcPr>
          <w:p w14:paraId="4E7B4ECF" w14:textId="77777777" w:rsidR="00A238EE" w:rsidRPr="00720329" w:rsidRDefault="00A238EE" w:rsidP="00A238EE">
            <w:pPr>
              <w:jc w:val="center"/>
              <w:rPr>
                <w:rFonts w:cs="Arial"/>
              </w:rPr>
            </w:pPr>
            <w:r w:rsidRPr="00720329">
              <w:rPr>
                <w:rFonts w:cs="Arial"/>
              </w:rPr>
              <w:t>-</w:t>
            </w:r>
          </w:p>
        </w:tc>
      </w:tr>
      <w:tr w:rsidR="00A238EE" w:rsidRPr="00B40734" w14:paraId="32BE0F40" w14:textId="77777777" w:rsidTr="00A238EE">
        <w:trPr>
          <w:cantSplit/>
          <w:jc w:val="center"/>
        </w:trPr>
        <w:tc>
          <w:tcPr>
            <w:tcW w:w="3566" w:type="dxa"/>
            <w:tcMar>
              <w:top w:w="0" w:type="dxa"/>
              <w:left w:w="108" w:type="dxa"/>
              <w:bottom w:w="0" w:type="dxa"/>
              <w:right w:w="108" w:type="dxa"/>
            </w:tcMar>
            <w:hideMark/>
          </w:tcPr>
          <w:p w14:paraId="54DDC50E" w14:textId="77777777" w:rsidR="00A238EE" w:rsidRPr="00B40734" w:rsidRDefault="00A238EE" w:rsidP="00A238EE">
            <w:pPr>
              <w:jc w:val="left"/>
              <w:rPr>
                <w:rFonts w:cs="Arial"/>
              </w:rPr>
            </w:pPr>
            <w:r w:rsidRPr="00B40734">
              <w:rPr>
                <w:rFonts w:cs="Arial"/>
              </w:rPr>
              <w:t>TOTAL</w:t>
            </w:r>
          </w:p>
        </w:tc>
        <w:tc>
          <w:tcPr>
            <w:tcW w:w="1537" w:type="dxa"/>
            <w:tcMar>
              <w:top w:w="0" w:type="dxa"/>
              <w:left w:w="108" w:type="dxa"/>
              <w:bottom w:w="0" w:type="dxa"/>
              <w:right w:w="108" w:type="dxa"/>
            </w:tcMar>
          </w:tcPr>
          <w:p w14:paraId="5ADD99A7" w14:textId="77777777" w:rsidR="00A238EE" w:rsidRPr="00720329" w:rsidRDefault="00A238EE" w:rsidP="00A238EE">
            <w:pPr>
              <w:jc w:val="center"/>
              <w:rPr>
                <w:rFonts w:cs="Arial"/>
              </w:rPr>
            </w:pPr>
            <w:r w:rsidRPr="00720329">
              <w:rPr>
                <w:rFonts w:cs="Arial"/>
              </w:rPr>
              <w:t>11</w:t>
            </w:r>
          </w:p>
        </w:tc>
        <w:tc>
          <w:tcPr>
            <w:tcW w:w="1691" w:type="dxa"/>
            <w:tcMar>
              <w:top w:w="0" w:type="dxa"/>
              <w:left w:w="108" w:type="dxa"/>
              <w:bottom w:w="0" w:type="dxa"/>
              <w:right w:w="108" w:type="dxa"/>
            </w:tcMar>
          </w:tcPr>
          <w:p w14:paraId="025C8745" w14:textId="77777777" w:rsidR="00A238EE" w:rsidRPr="00720329" w:rsidRDefault="00A238EE" w:rsidP="00A238EE">
            <w:pPr>
              <w:jc w:val="center"/>
              <w:rPr>
                <w:rFonts w:cs="Arial"/>
                <w:b/>
              </w:rPr>
            </w:pPr>
            <w:r w:rsidRPr="00720329">
              <w:rPr>
                <w:rFonts w:cs="Arial"/>
                <w:b/>
              </w:rPr>
              <w:t>126,496</w:t>
            </w:r>
          </w:p>
        </w:tc>
      </w:tr>
    </w:tbl>
    <w:p w14:paraId="78A96B18" w14:textId="67664EE5" w:rsidR="00AC4A42" w:rsidRDefault="00A238EE" w:rsidP="00A238EE">
      <w:pPr>
        <w:keepNext/>
        <w:spacing w:after="200" w:line="276" w:lineRule="auto"/>
        <w:contextualSpacing/>
        <w:jc w:val="center"/>
        <w:rPr>
          <w:rFonts w:eastAsia="Calibri" w:cstheme="minorHAnsi"/>
          <w:b/>
          <w:bCs/>
          <w:szCs w:val="16"/>
        </w:rPr>
      </w:pPr>
      <w:r w:rsidRPr="00B40734">
        <w:rPr>
          <w:rFonts w:eastAsia="Calibri" w:cstheme="minorHAnsi"/>
          <w:b/>
          <w:bCs/>
          <w:szCs w:val="16"/>
        </w:rPr>
        <w:br w:type="column"/>
      </w:r>
      <w:bookmarkStart w:id="23" w:name="_Ref178849824"/>
      <w:bookmarkStart w:id="24" w:name="_Toc178675189"/>
      <w:bookmarkStart w:id="25" w:name="_Toc178675404"/>
      <w:bookmarkStart w:id="26" w:name="_Toc178675511"/>
      <w:bookmarkStart w:id="27" w:name="_Toc180059283"/>
      <w:r w:rsidRPr="00B40734">
        <w:rPr>
          <w:rFonts w:eastAsia="Calibri" w:cstheme="minorHAnsi"/>
          <w:b/>
          <w:bCs/>
          <w:szCs w:val="16"/>
        </w:rPr>
        <w:t>Table</w:t>
      </w:r>
      <w:bookmarkEnd w:id="23"/>
      <w:r w:rsidRPr="00B40734">
        <w:rPr>
          <w:rFonts w:eastAsia="Calibri" w:cstheme="minorHAnsi"/>
          <w:b/>
          <w:bCs/>
          <w:szCs w:val="16"/>
        </w:rPr>
        <w:t xml:space="preserve"> </w:t>
      </w:r>
      <w:r w:rsidR="00DC4656">
        <w:rPr>
          <w:rFonts w:eastAsia="Calibri" w:cstheme="minorHAnsi"/>
          <w:b/>
          <w:bCs/>
          <w:szCs w:val="16"/>
        </w:rPr>
        <w:t>8</w:t>
      </w:r>
      <w:r w:rsidRPr="00B40734">
        <w:rPr>
          <w:rFonts w:eastAsia="Calibri" w:cstheme="minorHAnsi"/>
          <w:b/>
          <w:bCs/>
          <w:szCs w:val="16"/>
        </w:rPr>
        <w:t xml:space="preserve">: Retail grants of permission per SDRA, </w:t>
      </w:r>
      <w:bookmarkEnd w:id="24"/>
      <w:bookmarkEnd w:id="25"/>
      <w:bookmarkEnd w:id="26"/>
      <w:r w:rsidRPr="00B40734">
        <w:rPr>
          <w:rFonts w:eastAsia="Calibri" w:cstheme="minorHAnsi"/>
          <w:b/>
          <w:bCs/>
          <w:szCs w:val="16"/>
        </w:rPr>
        <w:t>202</w:t>
      </w:r>
      <w:bookmarkEnd w:id="27"/>
      <w:r w:rsidRPr="00B40734">
        <w:rPr>
          <w:rFonts w:eastAsia="Calibri" w:cstheme="minorHAnsi"/>
          <w:b/>
          <w:bCs/>
          <w:szCs w:val="16"/>
        </w:rPr>
        <w:t>4</w:t>
      </w:r>
      <w:r w:rsidR="00AC4A42">
        <w:rPr>
          <w:rFonts w:eastAsia="Calibri" w:cstheme="minorHAnsi"/>
          <w:b/>
          <w:bCs/>
          <w:szCs w:val="16"/>
        </w:rPr>
        <w:t xml:space="preserve"> </w:t>
      </w:r>
    </w:p>
    <w:p w14:paraId="405BD209" w14:textId="2736B423" w:rsidR="00A238EE" w:rsidRDefault="00AC4A42" w:rsidP="00A238EE">
      <w:pPr>
        <w:keepNext/>
        <w:spacing w:after="200" w:line="276" w:lineRule="auto"/>
        <w:contextualSpacing/>
        <w:jc w:val="center"/>
        <w:rPr>
          <w:rFonts w:cs="Arial"/>
        </w:rPr>
      </w:pPr>
      <w:r w:rsidRPr="005A4BC4">
        <w:rPr>
          <w:rFonts w:cs="Arial"/>
        </w:rPr>
        <w:t>(Source: DCC Planning Department</w:t>
      </w:r>
      <w:r>
        <w:rPr>
          <w:rFonts w:cs="Arial"/>
        </w:rPr>
        <w:t xml:space="preserve"> – APAS system query</w:t>
      </w:r>
      <w:r w:rsidRPr="005A4BC4">
        <w:rPr>
          <w:rFonts w:cs="Arial"/>
        </w:rPr>
        <w:t>)</w:t>
      </w:r>
    </w:p>
    <w:p w14:paraId="61FB3AC3" w14:textId="77777777" w:rsidR="004700E7" w:rsidRPr="00B40734" w:rsidRDefault="004700E7" w:rsidP="00A238EE">
      <w:pPr>
        <w:keepNext/>
        <w:spacing w:after="200" w:line="276" w:lineRule="auto"/>
        <w:contextualSpacing/>
        <w:jc w:val="center"/>
        <w:rPr>
          <w:rFonts w:eastAsia="Calibri" w:cstheme="minorHAnsi"/>
          <w:b/>
          <w:bCs/>
          <w:szCs w:val="16"/>
        </w:rPr>
      </w:pPr>
    </w:p>
    <w:tbl>
      <w:tblPr>
        <w:tblW w:w="7097"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4A0" w:firstRow="1" w:lastRow="0" w:firstColumn="1" w:lastColumn="0" w:noHBand="0" w:noVBand="1"/>
      </w:tblPr>
      <w:tblGrid>
        <w:gridCol w:w="2278"/>
        <w:gridCol w:w="2551"/>
        <w:gridCol w:w="2268"/>
      </w:tblGrid>
      <w:tr w:rsidR="00A238EE" w:rsidRPr="00B40734" w14:paraId="119834CD" w14:textId="77777777" w:rsidTr="00A238EE">
        <w:trPr>
          <w:jc w:val="center"/>
        </w:trPr>
        <w:tc>
          <w:tcPr>
            <w:tcW w:w="2278" w:type="dxa"/>
            <w:tcMar>
              <w:top w:w="0" w:type="dxa"/>
              <w:left w:w="108" w:type="dxa"/>
              <w:bottom w:w="0" w:type="dxa"/>
              <w:right w:w="108" w:type="dxa"/>
            </w:tcMar>
          </w:tcPr>
          <w:p w14:paraId="1D956E33" w14:textId="77777777" w:rsidR="00A238EE" w:rsidRPr="00336E32" w:rsidRDefault="00A238EE" w:rsidP="00A238EE">
            <w:pPr>
              <w:jc w:val="center"/>
              <w:rPr>
                <w:rFonts w:cs="Arial"/>
                <w:b/>
              </w:rPr>
            </w:pPr>
            <w:r w:rsidRPr="00336E32">
              <w:rPr>
                <w:rFonts w:cs="Arial"/>
                <w:b/>
              </w:rPr>
              <w:t>SDRA</w:t>
            </w:r>
          </w:p>
        </w:tc>
        <w:tc>
          <w:tcPr>
            <w:tcW w:w="2551" w:type="dxa"/>
            <w:tcMar>
              <w:top w:w="0" w:type="dxa"/>
              <w:left w:w="108" w:type="dxa"/>
              <w:bottom w:w="0" w:type="dxa"/>
              <w:right w:w="108" w:type="dxa"/>
            </w:tcMar>
            <w:hideMark/>
          </w:tcPr>
          <w:p w14:paraId="08B16695" w14:textId="77777777" w:rsidR="00A238EE" w:rsidRPr="00336E32" w:rsidRDefault="00A238EE" w:rsidP="00A238EE">
            <w:pPr>
              <w:jc w:val="center"/>
              <w:rPr>
                <w:rFonts w:cs="Arial"/>
                <w:b/>
              </w:rPr>
            </w:pPr>
            <w:r w:rsidRPr="00336E32">
              <w:rPr>
                <w:rFonts w:cs="Arial"/>
                <w:b/>
              </w:rPr>
              <w:t>No. of retail applications granted in 2024</w:t>
            </w:r>
          </w:p>
        </w:tc>
        <w:tc>
          <w:tcPr>
            <w:tcW w:w="2268" w:type="dxa"/>
            <w:tcMar>
              <w:top w:w="0" w:type="dxa"/>
              <w:left w:w="108" w:type="dxa"/>
              <w:bottom w:w="0" w:type="dxa"/>
              <w:right w:w="108" w:type="dxa"/>
            </w:tcMar>
            <w:hideMark/>
          </w:tcPr>
          <w:p w14:paraId="18B9239E" w14:textId="77777777" w:rsidR="00A238EE" w:rsidRPr="00336E32" w:rsidRDefault="00A238EE" w:rsidP="00A238EE">
            <w:pPr>
              <w:jc w:val="center"/>
              <w:rPr>
                <w:rFonts w:cs="Arial"/>
                <w:b/>
              </w:rPr>
            </w:pPr>
            <w:r w:rsidRPr="00336E32">
              <w:rPr>
                <w:rFonts w:cs="Arial"/>
                <w:b/>
              </w:rPr>
              <w:t>Approx. Sqm of retail granted in 2024</w:t>
            </w:r>
          </w:p>
        </w:tc>
      </w:tr>
      <w:tr w:rsidR="00A238EE" w:rsidRPr="00B40734" w14:paraId="199FA902" w14:textId="77777777" w:rsidTr="00A238EE">
        <w:trPr>
          <w:jc w:val="center"/>
        </w:trPr>
        <w:tc>
          <w:tcPr>
            <w:tcW w:w="2278" w:type="dxa"/>
            <w:tcMar>
              <w:top w:w="0" w:type="dxa"/>
              <w:left w:w="108" w:type="dxa"/>
              <w:bottom w:w="0" w:type="dxa"/>
              <w:right w:w="108" w:type="dxa"/>
            </w:tcMar>
          </w:tcPr>
          <w:p w14:paraId="172E4C21" w14:textId="77777777" w:rsidR="00A238EE" w:rsidRPr="00336E32" w:rsidRDefault="00A238EE" w:rsidP="00A238EE">
            <w:pPr>
              <w:jc w:val="left"/>
              <w:rPr>
                <w:rFonts w:cs="Arial"/>
              </w:rPr>
            </w:pPr>
            <w:r w:rsidRPr="00336E32">
              <w:rPr>
                <w:rFonts w:cs="Arial"/>
              </w:rPr>
              <w:t>Ballymun</w:t>
            </w:r>
          </w:p>
        </w:tc>
        <w:tc>
          <w:tcPr>
            <w:tcW w:w="2551" w:type="dxa"/>
            <w:tcMar>
              <w:top w:w="0" w:type="dxa"/>
              <w:left w:w="108" w:type="dxa"/>
              <w:bottom w:w="0" w:type="dxa"/>
              <w:right w:w="108" w:type="dxa"/>
            </w:tcMar>
          </w:tcPr>
          <w:p w14:paraId="662B558B" w14:textId="77777777" w:rsidR="00A238EE" w:rsidRPr="00336E32" w:rsidRDefault="00A238EE" w:rsidP="00A238EE">
            <w:pPr>
              <w:jc w:val="center"/>
              <w:rPr>
                <w:rFonts w:cs="Arial"/>
              </w:rPr>
            </w:pPr>
            <w:r w:rsidRPr="00336E32">
              <w:rPr>
                <w:rFonts w:cs="Arial"/>
              </w:rPr>
              <w:t>2</w:t>
            </w:r>
          </w:p>
        </w:tc>
        <w:tc>
          <w:tcPr>
            <w:tcW w:w="2268" w:type="dxa"/>
            <w:tcMar>
              <w:top w:w="0" w:type="dxa"/>
              <w:left w:w="108" w:type="dxa"/>
              <w:bottom w:w="0" w:type="dxa"/>
              <w:right w:w="108" w:type="dxa"/>
            </w:tcMar>
          </w:tcPr>
          <w:p w14:paraId="277DA13F" w14:textId="77777777" w:rsidR="00A238EE" w:rsidRPr="00336E32" w:rsidRDefault="00A238EE" w:rsidP="00A238EE">
            <w:pPr>
              <w:jc w:val="center"/>
              <w:rPr>
                <w:rFonts w:cs="Arial"/>
              </w:rPr>
            </w:pPr>
            <w:r w:rsidRPr="00336E32">
              <w:rPr>
                <w:rFonts w:cs="Arial"/>
              </w:rPr>
              <w:t>94</w:t>
            </w:r>
          </w:p>
        </w:tc>
      </w:tr>
      <w:tr w:rsidR="00A238EE" w:rsidRPr="00B40734" w14:paraId="7BC94668" w14:textId="77777777" w:rsidTr="00A238EE">
        <w:trPr>
          <w:trHeight w:val="805"/>
          <w:jc w:val="center"/>
        </w:trPr>
        <w:tc>
          <w:tcPr>
            <w:tcW w:w="2278" w:type="dxa"/>
            <w:tcMar>
              <w:top w:w="0" w:type="dxa"/>
              <w:left w:w="108" w:type="dxa"/>
              <w:bottom w:w="0" w:type="dxa"/>
              <w:right w:w="108" w:type="dxa"/>
            </w:tcMar>
          </w:tcPr>
          <w:p w14:paraId="1D237145" w14:textId="77777777" w:rsidR="00A238EE" w:rsidRPr="00336E32" w:rsidRDefault="00A238EE" w:rsidP="00A238EE">
            <w:pPr>
              <w:jc w:val="left"/>
              <w:rPr>
                <w:rFonts w:cs="Arial"/>
              </w:rPr>
            </w:pPr>
            <w:r w:rsidRPr="00336E32">
              <w:rPr>
                <w:rFonts w:cs="Arial"/>
              </w:rPr>
              <w:t>Liberties and Newmarket Square</w:t>
            </w:r>
          </w:p>
        </w:tc>
        <w:tc>
          <w:tcPr>
            <w:tcW w:w="2551" w:type="dxa"/>
            <w:tcMar>
              <w:top w:w="0" w:type="dxa"/>
              <w:left w:w="108" w:type="dxa"/>
              <w:bottom w:w="0" w:type="dxa"/>
              <w:right w:w="108" w:type="dxa"/>
            </w:tcMar>
          </w:tcPr>
          <w:p w14:paraId="73BD18BD" w14:textId="77777777" w:rsidR="00A238EE" w:rsidRPr="00336E32" w:rsidRDefault="00A238EE" w:rsidP="00A238EE">
            <w:pPr>
              <w:jc w:val="center"/>
              <w:rPr>
                <w:rFonts w:cs="Arial"/>
              </w:rPr>
            </w:pPr>
            <w:r w:rsidRPr="00336E32">
              <w:rPr>
                <w:rFonts w:cs="Arial"/>
              </w:rPr>
              <w:t>6</w:t>
            </w:r>
          </w:p>
        </w:tc>
        <w:tc>
          <w:tcPr>
            <w:tcW w:w="2268" w:type="dxa"/>
            <w:tcMar>
              <w:top w:w="0" w:type="dxa"/>
              <w:left w:w="108" w:type="dxa"/>
              <w:bottom w:w="0" w:type="dxa"/>
              <w:right w:w="108" w:type="dxa"/>
            </w:tcMar>
          </w:tcPr>
          <w:p w14:paraId="386AFF19" w14:textId="77777777" w:rsidR="00A238EE" w:rsidRPr="00336E32" w:rsidRDefault="00A238EE" w:rsidP="00A238EE">
            <w:pPr>
              <w:jc w:val="center"/>
              <w:rPr>
                <w:rFonts w:cs="Arial"/>
              </w:rPr>
            </w:pPr>
            <w:r w:rsidRPr="00336E32">
              <w:rPr>
                <w:rFonts w:cs="Arial"/>
              </w:rPr>
              <w:t>198</w:t>
            </w:r>
          </w:p>
        </w:tc>
      </w:tr>
      <w:tr w:rsidR="00A238EE" w:rsidRPr="00B40734" w14:paraId="36BFA9AF" w14:textId="77777777" w:rsidTr="00A238EE">
        <w:trPr>
          <w:jc w:val="center"/>
        </w:trPr>
        <w:tc>
          <w:tcPr>
            <w:tcW w:w="2278" w:type="dxa"/>
            <w:tcMar>
              <w:top w:w="0" w:type="dxa"/>
              <w:left w:w="108" w:type="dxa"/>
              <w:bottom w:w="0" w:type="dxa"/>
              <w:right w:w="108" w:type="dxa"/>
            </w:tcMar>
          </w:tcPr>
          <w:p w14:paraId="739F0C4C" w14:textId="77777777" w:rsidR="00A238EE" w:rsidRPr="00336E32" w:rsidRDefault="00A238EE" w:rsidP="00A238EE">
            <w:pPr>
              <w:jc w:val="left"/>
              <w:rPr>
                <w:rFonts w:cs="Arial"/>
              </w:rPr>
            </w:pPr>
            <w:r w:rsidRPr="00336E32">
              <w:rPr>
                <w:rFonts w:cs="Arial"/>
              </w:rPr>
              <w:t>Naas Road</w:t>
            </w:r>
          </w:p>
        </w:tc>
        <w:tc>
          <w:tcPr>
            <w:tcW w:w="2551" w:type="dxa"/>
            <w:tcMar>
              <w:top w:w="0" w:type="dxa"/>
              <w:left w:w="108" w:type="dxa"/>
              <w:bottom w:w="0" w:type="dxa"/>
              <w:right w:w="108" w:type="dxa"/>
            </w:tcMar>
          </w:tcPr>
          <w:p w14:paraId="37A7BE04" w14:textId="77777777" w:rsidR="00A238EE" w:rsidRPr="00336E32" w:rsidRDefault="00A238EE" w:rsidP="00A238EE">
            <w:pPr>
              <w:jc w:val="center"/>
              <w:rPr>
                <w:rFonts w:cs="Arial"/>
              </w:rPr>
            </w:pPr>
            <w:r w:rsidRPr="00336E32">
              <w:rPr>
                <w:rFonts w:cs="Arial"/>
              </w:rPr>
              <w:t xml:space="preserve">3 </w:t>
            </w:r>
          </w:p>
        </w:tc>
        <w:tc>
          <w:tcPr>
            <w:tcW w:w="2268" w:type="dxa"/>
            <w:tcMar>
              <w:top w:w="0" w:type="dxa"/>
              <w:left w:w="108" w:type="dxa"/>
              <w:bottom w:w="0" w:type="dxa"/>
              <w:right w:w="108" w:type="dxa"/>
            </w:tcMar>
          </w:tcPr>
          <w:p w14:paraId="3931636A" w14:textId="7DBD384A" w:rsidR="00A238EE" w:rsidRPr="00336E32" w:rsidRDefault="00A238EE" w:rsidP="00A238EE">
            <w:pPr>
              <w:jc w:val="center"/>
              <w:rPr>
                <w:rFonts w:cs="Arial"/>
              </w:rPr>
            </w:pPr>
            <w:r w:rsidRPr="00336E32">
              <w:rPr>
                <w:rFonts w:cs="Arial"/>
              </w:rPr>
              <w:t>1</w:t>
            </w:r>
            <w:r w:rsidR="00097F7F">
              <w:rPr>
                <w:rFonts w:cs="Arial"/>
              </w:rPr>
              <w:t>,</w:t>
            </w:r>
            <w:r w:rsidRPr="00336E32">
              <w:rPr>
                <w:rFonts w:cs="Arial"/>
              </w:rPr>
              <w:t>198</w:t>
            </w:r>
          </w:p>
        </w:tc>
      </w:tr>
      <w:tr w:rsidR="00A238EE" w:rsidRPr="00B40734" w14:paraId="0C9202C3" w14:textId="77777777" w:rsidTr="00A238EE">
        <w:trPr>
          <w:jc w:val="center"/>
        </w:trPr>
        <w:tc>
          <w:tcPr>
            <w:tcW w:w="2278" w:type="dxa"/>
            <w:tcMar>
              <w:top w:w="0" w:type="dxa"/>
              <w:left w:w="108" w:type="dxa"/>
              <w:bottom w:w="0" w:type="dxa"/>
              <w:right w:w="108" w:type="dxa"/>
            </w:tcMar>
          </w:tcPr>
          <w:p w14:paraId="71DD5FAF" w14:textId="77777777" w:rsidR="00A238EE" w:rsidRPr="00336E32" w:rsidRDefault="00A238EE" w:rsidP="00A238EE">
            <w:pPr>
              <w:jc w:val="left"/>
              <w:rPr>
                <w:rFonts w:cs="Arial"/>
              </w:rPr>
            </w:pPr>
            <w:r w:rsidRPr="00336E32">
              <w:rPr>
                <w:rFonts w:cs="Arial"/>
              </w:rPr>
              <w:t>Docklands</w:t>
            </w:r>
          </w:p>
        </w:tc>
        <w:tc>
          <w:tcPr>
            <w:tcW w:w="2551" w:type="dxa"/>
            <w:tcMar>
              <w:top w:w="0" w:type="dxa"/>
              <w:left w:w="108" w:type="dxa"/>
              <w:bottom w:w="0" w:type="dxa"/>
              <w:right w:w="108" w:type="dxa"/>
            </w:tcMar>
          </w:tcPr>
          <w:p w14:paraId="54ACB6DB" w14:textId="77777777" w:rsidR="00A238EE" w:rsidRPr="00336E32" w:rsidRDefault="00A238EE" w:rsidP="00A238EE">
            <w:pPr>
              <w:jc w:val="center"/>
              <w:rPr>
                <w:rFonts w:cs="Arial"/>
              </w:rPr>
            </w:pPr>
            <w:r w:rsidRPr="00336E32">
              <w:rPr>
                <w:rFonts w:cs="Arial"/>
              </w:rPr>
              <w:t>9</w:t>
            </w:r>
          </w:p>
        </w:tc>
        <w:tc>
          <w:tcPr>
            <w:tcW w:w="2268" w:type="dxa"/>
            <w:tcMar>
              <w:top w:w="0" w:type="dxa"/>
              <w:left w:w="108" w:type="dxa"/>
              <w:bottom w:w="0" w:type="dxa"/>
              <w:right w:w="108" w:type="dxa"/>
            </w:tcMar>
          </w:tcPr>
          <w:p w14:paraId="00EFDA30" w14:textId="5F257B99" w:rsidR="00A238EE" w:rsidRPr="00336E32" w:rsidRDefault="00A238EE" w:rsidP="00A238EE">
            <w:pPr>
              <w:jc w:val="center"/>
              <w:rPr>
                <w:rFonts w:cs="Arial"/>
              </w:rPr>
            </w:pPr>
            <w:r w:rsidRPr="00336E32">
              <w:rPr>
                <w:rFonts w:cs="Arial"/>
              </w:rPr>
              <w:t>4</w:t>
            </w:r>
            <w:r w:rsidR="00097F7F">
              <w:rPr>
                <w:rFonts w:cs="Arial"/>
              </w:rPr>
              <w:t>,</w:t>
            </w:r>
            <w:r w:rsidRPr="00336E32">
              <w:rPr>
                <w:rFonts w:cs="Arial"/>
              </w:rPr>
              <w:t>536</w:t>
            </w:r>
          </w:p>
        </w:tc>
      </w:tr>
      <w:tr w:rsidR="00A238EE" w:rsidRPr="00B40734" w14:paraId="1545E9C3" w14:textId="77777777" w:rsidTr="00A238EE">
        <w:trPr>
          <w:jc w:val="center"/>
        </w:trPr>
        <w:tc>
          <w:tcPr>
            <w:tcW w:w="2278" w:type="dxa"/>
            <w:tcMar>
              <w:top w:w="0" w:type="dxa"/>
              <w:left w:w="108" w:type="dxa"/>
              <w:bottom w:w="0" w:type="dxa"/>
              <w:right w:w="108" w:type="dxa"/>
            </w:tcMar>
          </w:tcPr>
          <w:p w14:paraId="5880A378" w14:textId="77777777" w:rsidR="00A238EE" w:rsidRPr="00336E32" w:rsidRDefault="00A238EE" w:rsidP="00A238EE">
            <w:pPr>
              <w:jc w:val="left"/>
              <w:rPr>
                <w:rFonts w:cs="Arial"/>
              </w:rPr>
            </w:pPr>
            <w:proofErr w:type="spellStart"/>
            <w:r w:rsidRPr="00336E32">
              <w:rPr>
                <w:rFonts w:cs="Arial"/>
              </w:rPr>
              <w:t>Grangegorman</w:t>
            </w:r>
            <w:proofErr w:type="spellEnd"/>
            <w:r w:rsidRPr="00336E32">
              <w:rPr>
                <w:rFonts w:cs="Arial"/>
              </w:rPr>
              <w:t>/ Broadstone</w:t>
            </w:r>
          </w:p>
        </w:tc>
        <w:tc>
          <w:tcPr>
            <w:tcW w:w="2551" w:type="dxa"/>
            <w:tcMar>
              <w:top w:w="0" w:type="dxa"/>
              <w:left w:w="108" w:type="dxa"/>
              <w:bottom w:w="0" w:type="dxa"/>
              <w:right w:w="108" w:type="dxa"/>
            </w:tcMar>
          </w:tcPr>
          <w:p w14:paraId="5A0C1383" w14:textId="77777777" w:rsidR="00A238EE" w:rsidRPr="00336E32" w:rsidRDefault="00A238EE" w:rsidP="00A238EE">
            <w:pPr>
              <w:jc w:val="center"/>
              <w:rPr>
                <w:rFonts w:cs="Arial"/>
              </w:rPr>
            </w:pPr>
            <w:r w:rsidRPr="00336E32">
              <w:rPr>
                <w:rFonts w:cs="Arial"/>
              </w:rPr>
              <w:t>1</w:t>
            </w:r>
          </w:p>
        </w:tc>
        <w:tc>
          <w:tcPr>
            <w:tcW w:w="2268" w:type="dxa"/>
            <w:tcMar>
              <w:top w:w="0" w:type="dxa"/>
              <w:left w:w="108" w:type="dxa"/>
              <w:bottom w:w="0" w:type="dxa"/>
              <w:right w:w="108" w:type="dxa"/>
            </w:tcMar>
          </w:tcPr>
          <w:p w14:paraId="1C5573BD" w14:textId="77777777" w:rsidR="00A238EE" w:rsidRPr="00336E32" w:rsidRDefault="00A238EE" w:rsidP="00A238EE">
            <w:pPr>
              <w:jc w:val="center"/>
              <w:rPr>
                <w:rFonts w:cs="Arial"/>
              </w:rPr>
            </w:pPr>
            <w:r w:rsidRPr="00336E32">
              <w:rPr>
                <w:rFonts w:cs="Arial"/>
              </w:rPr>
              <w:t>929</w:t>
            </w:r>
          </w:p>
        </w:tc>
      </w:tr>
      <w:tr w:rsidR="00A238EE" w:rsidRPr="00B40734" w14:paraId="75BB3C3A" w14:textId="77777777" w:rsidTr="00A238EE">
        <w:trPr>
          <w:jc w:val="center"/>
        </w:trPr>
        <w:tc>
          <w:tcPr>
            <w:tcW w:w="2278" w:type="dxa"/>
            <w:tcMar>
              <w:top w:w="0" w:type="dxa"/>
              <w:left w:w="108" w:type="dxa"/>
              <w:bottom w:w="0" w:type="dxa"/>
              <w:right w:w="108" w:type="dxa"/>
            </w:tcMar>
          </w:tcPr>
          <w:p w14:paraId="362597FC" w14:textId="77777777" w:rsidR="00A238EE" w:rsidRPr="00336E32" w:rsidRDefault="00A238EE" w:rsidP="00A238EE">
            <w:pPr>
              <w:jc w:val="left"/>
              <w:rPr>
                <w:rFonts w:cs="Arial"/>
              </w:rPr>
            </w:pPr>
            <w:r w:rsidRPr="00336E32">
              <w:rPr>
                <w:rFonts w:cs="Arial"/>
              </w:rPr>
              <w:t>Heuston</w:t>
            </w:r>
          </w:p>
        </w:tc>
        <w:tc>
          <w:tcPr>
            <w:tcW w:w="2551" w:type="dxa"/>
            <w:tcMar>
              <w:top w:w="0" w:type="dxa"/>
              <w:left w:w="108" w:type="dxa"/>
              <w:bottom w:w="0" w:type="dxa"/>
              <w:right w:w="108" w:type="dxa"/>
            </w:tcMar>
          </w:tcPr>
          <w:p w14:paraId="5B447696" w14:textId="77777777" w:rsidR="00A238EE" w:rsidRPr="00336E32" w:rsidRDefault="00A238EE" w:rsidP="00A238EE">
            <w:pPr>
              <w:jc w:val="center"/>
              <w:rPr>
                <w:rFonts w:cs="Arial"/>
              </w:rPr>
            </w:pPr>
            <w:r w:rsidRPr="00336E32">
              <w:rPr>
                <w:rFonts w:cs="Arial"/>
              </w:rPr>
              <w:t>1</w:t>
            </w:r>
          </w:p>
        </w:tc>
        <w:tc>
          <w:tcPr>
            <w:tcW w:w="2268" w:type="dxa"/>
            <w:tcMar>
              <w:top w:w="0" w:type="dxa"/>
              <w:left w:w="108" w:type="dxa"/>
              <w:bottom w:w="0" w:type="dxa"/>
              <w:right w:w="108" w:type="dxa"/>
            </w:tcMar>
          </w:tcPr>
          <w:p w14:paraId="6C8642BD" w14:textId="77777777" w:rsidR="00A238EE" w:rsidRPr="00336E32" w:rsidRDefault="00A238EE" w:rsidP="00A238EE">
            <w:pPr>
              <w:jc w:val="center"/>
              <w:rPr>
                <w:rFonts w:cs="Arial"/>
              </w:rPr>
            </w:pPr>
            <w:r w:rsidRPr="00336E32">
              <w:rPr>
                <w:rFonts w:cs="Arial"/>
              </w:rPr>
              <w:t>208</w:t>
            </w:r>
          </w:p>
        </w:tc>
      </w:tr>
      <w:tr w:rsidR="00A238EE" w:rsidRPr="00B40734" w14:paraId="0E62F04E" w14:textId="77777777" w:rsidTr="00A238EE">
        <w:trPr>
          <w:jc w:val="center"/>
        </w:trPr>
        <w:tc>
          <w:tcPr>
            <w:tcW w:w="2278" w:type="dxa"/>
            <w:tcMar>
              <w:top w:w="0" w:type="dxa"/>
              <w:left w:w="108" w:type="dxa"/>
              <w:bottom w:w="0" w:type="dxa"/>
              <w:right w:w="108" w:type="dxa"/>
            </w:tcMar>
          </w:tcPr>
          <w:p w14:paraId="2B0268BE" w14:textId="77777777" w:rsidR="00A238EE" w:rsidRPr="00336E32" w:rsidRDefault="00A238EE" w:rsidP="00A238EE">
            <w:pPr>
              <w:jc w:val="left"/>
              <w:rPr>
                <w:rFonts w:cs="Arial"/>
              </w:rPr>
            </w:pPr>
            <w:r w:rsidRPr="00336E32">
              <w:rPr>
                <w:rFonts w:cs="Arial"/>
              </w:rPr>
              <w:t>Emmett rd.</w:t>
            </w:r>
          </w:p>
        </w:tc>
        <w:tc>
          <w:tcPr>
            <w:tcW w:w="2551" w:type="dxa"/>
            <w:tcMar>
              <w:top w:w="0" w:type="dxa"/>
              <w:left w:w="108" w:type="dxa"/>
              <w:bottom w:w="0" w:type="dxa"/>
              <w:right w:w="108" w:type="dxa"/>
            </w:tcMar>
          </w:tcPr>
          <w:p w14:paraId="16791B9D" w14:textId="77777777" w:rsidR="00A238EE" w:rsidRPr="00336E32" w:rsidRDefault="00A238EE" w:rsidP="00A238EE">
            <w:pPr>
              <w:jc w:val="center"/>
              <w:rPr>
                <w:rFonts w:cs="Arial"/>
              </w:rPr>
            </w:pPr>
            <w:r w:rsidRPr="00336E32">
              <w:rPr>
                <w:rFonts w:cs="Arial"/>
              </w:rPr>
              <w:t>-</w:t>
            </w:r>
          </w:p>
        </w:tc>
        <w:tc>
          <w:tcPr>
            <w:tcW w:w="2268" w:type="dxa"/>
            <w:tcMar>
              <w:top w:w="0" w:type="dxa"/>
              <w:left w:w="108" w:type="dxa"/>
              <w:bottom w:w="0" w:type="dxa"/>
              <w:right w:w="108" w:type="dxa"/>
            </w:tcMar>
          </w:tcPr>
          <w:p w14:paraId="3F2520AA" w14:textId="77777777" w:rsidR="00A238EE" w:rsidRPr="00336E32" w:rsidRDefault="00A238EE" w:rsidP="00A238EE">
            <w:pPr>
              <w:jc w:val="center"/>
              <w:rPr>
                <w:rFonts w:cs="Arial"/>
              </w:rPr>
            </w:pPr>
            <w:r w:rsidRPr="00336E32">
              <w:rPr>
                <w:rFonts w:cs="Arial"/>
              </w:rPr>
              <w:t>-</w:t>
            </w:r>
          </w:p>
        </w:tc>
      </w:tr>
      <w:tr w:rsidR="00A238EE" w:rsidRPr="00B40734" w14:paraId="231AB960" w14:textId="77777777" w:rsidTr="00A238EE">
        <w:trPr>
          <w:jc w:val="center"/>
        </w:trPr>
        <w:tc>
          <w:tcPr>
            <w:tcW w:w="2278" w:type="dxa"/>
            <w:tcMar>
              <w:top w:w="0" w:type="dxa"/>
              <w:left w:w="108" w:type="dxa"/>
              <w:bottom w:w="0" w:type="dxa"/>
              <w:right w:w="108" w:type="dxa"/>
            </w:tcMar>
          </w:tcPr>
          <w:p w14:paraId="04A98BF3" w14:textId="77777777" w:rsidR="00A238EE" w:rsidRPr="00336E32" w:rsidRDefault="00A238EE" w:rsidP="00A238EE">
            <w:pPr>
              <w:jc w:val="left"/>
              <w:rPr>
                <w:rFonts w:cs="Arial"/>
              </w:rPr>
            </w:pPr>
            <w:r w:rsidRPr="00336E32">
              <w:rPr>
                <w:rFonts w:cs="Arial"/>
              </w:rPr>
              <w:t>NEIC</w:t>
            </w:r>
          </w:p>
        </w:tc>
        <w:tc>
          <w:tcPr>
            <w:tcW w:w="2551" w:type="dxa"/>
            <w:tcMar>
              <w:top w:w="0" w:type="dxa"/>
              <w:left w:w="108" w:type="dxa"/>
              <w:bottom w:w="0" w:type="dxa"/>
              <w:right w:w="108" w:type="dxa"/>
            </w:tcMar>
          </w:tcPr>
          <w:p w14:paraId="776A91CF" w14:textId="77777777" w:rsidR="00A238EE" w:rsidRPr="00336E32" w:rsidRDefault="00A238EE" w:rsidP="00A238EE">
            <w:pPr>
              <w:jc w:val="center"/>
              <w:rPr>
                <w:rFonts w:cs="Arial"/>
              </w:rPr>
            </w:pPr>
            <w:r w:rsidRPr="00336E32">
              <w:rPr>
                <w:rFonts w:cs="Arial"/>
              </w:rPr>
              <w:t>5</w:t>
            </w:r>
          </w:p>
        </w:tc>
        <w:tc>
          <w:tcPr>
            <w:tcW w:w="2268" w:type="dxa"/>
            <w:tcMar>
              <w:top w:w="0" w:type="dxa"/>
              <w:left w:w="108" w:type="dxa"/>
              <w:bottom w:w="0" w:type="dxa"/>
              <w:right w:w="108" w:type="dxa"/>
            </w:tcMar>
          </w:tcPr>
          <w:p w14:paraId="4E68BCAB" w14:textId="3C037B38" w:rsidR="00A238EE" w:rsidRPr="00336E32" w:rsidRDefault="00A238EE" w:rsidP="00A238EE">
            <w:pPr>
              <w:jc w:val="center"/>
              <w:rPr>
                <w:rFonts w:cs="Arial"/>
              </w:rPr>
            </w:pPr>
            <w:r w:rsidRPr="00336E32">
              <w:rPr>
                <w:rFonts w:cs="Arial"/>
              </w:rPr>
              <w:t>2</w:t>
            </w:r>
            <w:r w:rsidR="00097F7F">
              <w:rPr>
                <w:rFonts w:cs="Arial"/>
              </w:rPr>
              <w:t>,</w:t>
            </w:r>
            <w:r w:rsidRPr="00336E32">
              <w:rPr>
                <w:rFonts w:cs="Arial"/>
              </w:rPr>
              <w:t>411</w:t>
            </w:r>
          </w:p>
        </w:tc>
      </w:tr>
      <w:tr w:rsidR="00A238EE" w:rsidRPr="00B40734" w14:paraId="7F08908A" w14:textId="77777777" w:rsidTr="00A238EE">
        <w:trPr>
          <w:jc w:val="center"/>
        </w:trPr>
        <w:tc>
          <w:tcPr>
            <w:tcW w:w="2278" w:type="dxa"/>
            <w:tcMar>
              <w:top w:w="0" w:type="dxa"/>
              <w:left w:w="108" w:type="dxa"/>
              <w:bottom w:w="0" w:type="dxa"/>
              <w:right w:w="108" w:type="dxa"/>
            </w:tcMar>
          </w:tcPr>
          <w:p w14:paraId="534655C4" w14:textId="77777777" w:rsidR="00A238EE" w:rsidRPr="00336E32" w:rsidRDefault="00A238EE" w:rsidP="00A238EE">
            <w:pPr>
              <w:jc w:val="left"/>
              <w:rPr>
                <w:rFonts w:cs="Arial"/>
              </w:rPr>
            </w:pPr>
            <w:r w:rsidRPr="00336E32">
              <w:rPr>
                <w:rFonts w:cs="Arial"/>
              </w:rPr>
              <w:t>Finglas Village</w:t>
            </w:r>
          </w:p>
        </w:tc>
        <w:tc>
          <w:tcPr>
            <w:tcW w:w="2551" w:type="dxa"/>
            <w:tcMar>
              <w:top w:w="0" w:type="dxa"/>
              <w:left w:w="108" w:type="dxa"/>
              <w:bottom w:w="0" w:type="dxa"/>
              <w:right w:w="108" w:type="dxa"/>
            </w:tcMar>
          </w:tcPr>
          <w:p w14:paraId="4C551B64" w14:textId="77777777" w:rsidR="00A238EE" w:rsidRPr="00336E32" w:rsidRDefault="00A238EE" w:rsidP="00A238EE">
            <w:pPr>
              <w:jc w:val="center"/>
              <w:rPr>
                <w:rFonts w:cs="Arial"/>
              </w:rPr>
            </w:pPr>
            <w:r w:rsidRPr="00336E32">
              <w:rPr>
                <w:rFonts w:cs="Arial"/>
              </w:rPr>
              <w:t xml:space="preserve">3 </w:t>
            </w:r>
          </w:p>
        </w:tc>
        <w:tc>
          <w:tcPr>
            <w:tcW w:w="2268" w:type="dxa"/>
            <w:tcMar>
              <w:top w:w="0" w:type="dxa"/>
              <w:left w:w="108" w:type="dxa"/>
              <w:bottom w:w="0" w:type="dxa"/>
              <w:right w:w="108" w:type="dxa"/>
            </w:tcMar>
          </w:tcPr>
          <w:p w14:paraId="7808A756" w14:textId="77777777" w:rsidR="00A238EE" w:rsidRPr="00336E32" w:rsidRDefault="00A238EE" w:rsidP="00A238EE">
            <w:pPr>
              <w:jc w:val="center"/>
              <w:rPr>
                <w:rFonts w:cs="Arial"/>
              </w:rPr>
            </w:pPr>
            <w:r w:rsidRPr="00336E32">
              <w:rPr>
                <w:rFonts w:cs="Arial"/>
              </w:rPr>
              <w:t>140</w:t>
            </w:r>
          </w:p>
        </w:tc>
      </w:tr>
      <w:tr w:rsidR="00A238EE" w:rsidRPr="00B40734" w14:paraId="2A0AC058" w14:textId="77777777" w:rsidTr="00A238EE">
        <w:trPr>
          <w:jc w:val="center"/>
        </w:trPr>
        <w:tc>
          <w:tcPr>
            <w:tcW w:w="2278" w:type="dxa"/>
            <w:tcMar>
              <w:top w:w="0" w:type="dxa"/>
              <w:left w:w="108" w:type="dxa"/>
              <w:bottom w:w="0" w:type="dxa"/>
              <w:right w:w="108" w:type="dxa"/>
            </w:tcMar>
          </w:tcPr>
          <w:p w14:paraId="069DF98B" w14:textId="77777777" w:rsidR="00A238EE" w:rsidRPr="00336E32" w:rsidRDefault="00A238EE" w:rsidP="00A238EE">
            <w:pPr>
              <w:jc w:val="left"/>
              <w:rPr>
                <w:rFonts w:cs="Arial"/>
              </w:rPr>
            </w:pPr>
            <w:proofErr w:type="spellStart"/>
            <w:r w:rsidRPr="00336E32">
              <w:rPr>
                <w:rFonts w:cs="Arial"/>
              </w:rPr>
              <w:t>Clongriffin</w:t>
            </w:r>
            <w:proofErr w:type="spellEnd"/>
          </w:p>
        </w:tc>
        <w:tc>
          <w:tcPr>
            <w:tcW w:w="2551" w:type="dxa"/>
            <w:tcMar>
              <w:top w:w="0" w:type="dxa"/>
              <w:left w:w="108" w:type="dxa"/>
              <w:bottom w:w="0" w:type="dxa"/>
              <w:right w:w="108" w:type="dxa"/>
            </w:tcMar>
          </w:tcPr>
          <w:p w14:paraId="757B0343" w14:textId="77777777" w:rsidR="00A238EE" w:rsidRPr="00336E32" w:rsidRDefault="00A238EE" w:rsidP="00A238EE">
            <w:pPr>
              <w:jc w:val="center"/>
              <w:rPr>
                <w:rFonts w:cs="Arial"/>
              </w:rPr>
            </w:pPr>
            <w:r w:rsidRPr="00336E32">
              <w:rPr>
                <w:rFonts w:cs="Arial"/>
              </w:rPr>
              <w:t>-</w:t>
            </w:r>
          </w:p>
        </w:tc>
        <w:tc>
          <w:tcPr>
            <w:tcW w:w="2268" w:type="dxa"/>
            <w:tcMar>
              <w:top w:w="0" w:type="dxa"/>
              <w:left w:w="108" w:type="dxa"/>
              <w:bottom w:w="0" w:type="dxa"/>
              <w:right w:w="108" w:type="dxa"/>
            </w:tcMar>
          </w:tcPr>
          <w:p w14:paraId="0B392345" w14:textId="77777777" w:rsidR="00A238EE" w:rsidRPr="00336E32" w:rsidRDefault="00A238EE" w:rsidP="00A238EE">
            <w:pPr>
              <w:jc w:val="center"/>
              <w:rPr>
                <w:rFonts w:cs="Arial"/>
              </w:rPr>
            </w:pPr>
            <w:r w:rsidRPr="00336E32">
              <w:rPr>
                <w:rFonts w:cs="Arial"/>
              </w:rPr>
              <w:t>-</w:t>
            </w:r>
          </w:p>
        </w:tc>
      </w:tr>
      <w:tr w:rsidR="00A238EE" w:rsidRPr="00B40734" w14:paraId="5BD0A825" w14:textId="77777777" w:rsidTr="00A238EE">
        <w:trPr>
          <w:jc w:val="center"/>
        </w:trPr>
        <w:tc>
          <w:tcPr>
            <w:tcW w:w="2278" w:type="dxa"/>
            <w:tcMar>
              <w:top w:w="0" w:type="dxa"/>
              <w:left w:w="108" w:type="dxa"/>
              <w:bottom w:w="0" w:type="dxa"/>
              <w:right w:w="108" w:type="dxa"/>
            </w:tcMar>
          </w:tcPr>
          <w:p w14:paraId="7981C53C" w14:textId="77777777" w:rsidR="00A238EE" w:rsidRPr="00336E32" w:rsidRDefault="00A238EE" w:rsidP="00A238EE">
            <w:pPr>
              <w:jc w:val="left"/>
              <w:rPr>
                <w:rFonts w:cs="Arial"/>
              </w:rPr>
            </w:pPr>
            <w:r w:rsidRPr="00336E32">
              <w:rPr>
                <w:rFonts w:cs="Arial"/>
              </w:rPr>
              <w:t>Oscar Traynor Rd</w:t>
            </w:r>
          </w:p>
        </w:tc>
        <w:tc>
          <w:tcPr>
            <w:tcW w:w="2551" w:type="dxa"/>
            <w:tcMar>
              <w:top w:w="0" w:type="dxa"/>
              <w:left w:w="108" w:type="dxa"/>
              <w:bottom w:w="0" w:type="dxa"/>
              <w:right w:w="108" w:type="dxa"/>
            </w:tcMar>
          </w:tcPr>
          <w:p w14:paraId="027883C4" w14:textId="77777777" w:rsidR="00A238EE" w:rsidRPr="00336E32" w:rsidRDefault="00A238EE" w:rsidP="00A238EE">
            <w:pPr>
              <w:jc w:val="center"/>
              <w:rPr>
                <w:rFonts w:cs="Arial"/>
              </w:rPr>
            </w:pPr>
            <w:r w:rsidRPr="00336E32">
              <w:rPr>
                <w:rFonts w:cs="Arial"/>
              </w:rPr>
              <w:t>-</w:t>
            </w:r>
          </w:p>
        </w:tc>
        <w:tc>
          <w:tcPr>
            <w:tcW w:w="2268" w:type="dxa"/>
            <w:tcMar>
              <w:top w:w="0" w:type="dxa"/>
              <w:left w:w="108" w:type="dxa"/>
              <w:bottom w:w="0" w:type="dxa"/>
              <w:right w:w="108" w:type="dxa"/>
            </w:tcMar>
          </w:tcPr>
          <w:p w14:paraId="64639825" w14:textId="77777777" w:rsidR="00A238EE" w:rsidRPr="00336E32" w:rsidRDefault="00A238EE" w:rsidP="00A238EE">
            <w:pPr>
              <w:jc w:val="center"/>
              <w:rPr>
                <w:rFonts w:cs="Arial"/>
              </w:rPr>
            </w:pPr>
            <w:r w:rsidRPr="00336E32">
              <w:rPr>
                <w:rFonts w:cs="Arial"/>
              </w:rPr>
              <w:t>-</w:t>
            </w:r>
          </w:p>
        </w:tc>
      </w:tr>
      <w:tr w:rsidR="00A238EE" w:rsidRPr="00B40734" w14:paraId="478DB91A" w14:textId="77777777" w:rsidTr="00A238EE">
        <w:trPr>
          <w:jc w:val="center"/>
        </w:trPr>
        <w:tc>
          <w:tcPr>
            <w:tcW w:w="2278" w:type="dxa"/>
            <w:tcMar>
              <w:top w:w="0" w:type="dxa"/>
              <w:left w:w="108" w:type="dxa"/>
              <w:bottom w:w="0" w:type="dxa"/>
              <w:right w:w="108" w:type="dxa"/>
            </w:tcMar>
          </w:tcPr>
          <w:p w14:paraId="6ECF8914" w14:textId="77777777" w:rsidR="00A238EE" w:rsidRPr="00336E32" w:rsidRDefault="00A238EE" w:rsidP="00A238EE">
            <w:pPr>
              <w:jc w:val="left"/>
              <w:rPr>
                <w:rFonts w:cs="Arial"/>
              </w:rPr>
            </w:pPr>
            <w:r w:rsidRPr="00336E32">
              <w:rPr>
                <w:rFonts w:cs="Arial"/>
              </w:rPr>
              <w:t>Dolphin House</w:t>
            </w:r>
          </w:p>
        </w:tc>
        <w:tc>
          <w:tcPr>
            <w:tcW w:w="2551" w:type="dxa"/>
            <w:tcMar>
              <w:top w:w="0" w:type="dxa"/>
              <w:left w:w="108" w:type="dxa"/>
              <w:bottom w:w="0" w:type="dxa"/>
              <w:right w:w="108" w:type="dxa"/>
            </w:tcMar>
          </w:tcPr>
          <w:p w14:paraId="2ACAA4DA" w14:textId="77777777" w:rsidR="00A238EE" w:rsidRPr="00336E32" w:rsidRDefault="00A238EE" w:rsidP="00A238EE">
            <w:pPr>
              <w:jc w:val="center"/>
              <w:rPr>
                <w:rFonts w:cs="Arial"/>
              </w:rPr>
            </w:pPr>
            <w:r w:rsidRPr="00336E32">
              <w:rPr>
                <w:rFonts w:cs="Arial"/>
              </w:rPr>
              <w:t>1</w:t>
            </w:r>
          </w:p>
        </w:tc>
        <w:tc>
          <w:tcPr>
            <w:tcW w:w="2268" w:type="dxa"/>
            <w:tcMar>
              <w:top w:w="0" w:type="dxa"/>
              <w:left w:w="108" w:type="dxa"/>
              <w:bottom w:w="0" w:type="dxa"/>
              <w:right w:w="108" w:type="dxa"/>
            </w:tcMar>
          </w:tcPr>
          <w:p w14:paraId="3B22F7EB" w14:textId="77777777" w:rsidR="00A238EE" w:rsidRPr="00336E32" w:rsidRDefault="00A238EE" w:rsidP="00A238EE">
            <w:pPr>
              <w:jc w:val="center"/>
              <w:rPr>
                <w:rFonts w:cs="Arial"/>
              </w:rPr>
            </w:pPr>
            <w:r w:rsidRPr="00336E32">
              <w:rPr>
                <w:rFonts w:cs="Arial"/>
              </w:rPr>
              <w:t>324</w:t>
            </w:r>
          </w:p>
        </w:tc>
      </w:tr>
      <w:tr w:rsidR="00A238EE" w:rsidRPr="00B40734" w14:paraId="2FCB39B1" w14:textId="77777777" w:rsidTr="00A238EE">
        <w:trPr>
          <w:jc w:val="center"/>
        </w:trPr>
        <w:tc>
          <w:tcPr>
            <w:tcW w:w="2278" w:type="dxa"/>
            <w:tcMar>
              <w:top w:w="0" w:type="dxa"/>
              <w:left w:w="108" w:type="dxa"/>
              <w:bottom w:w="0" w:type="dxa"/>
              <w:right w:w="108" w:type="dxa"/>
            </w:tcMar>
          </w:tcPr>
          <w:p w14:paraId="23030645" w14:textId="77777777" w:rsidR="00A238EE" w:rsidRPr="00336E32" w:rsidRDefault="00A238EE" w:rsidP="00A238EE">
            <w:pPr>
              <w:jc w:val="left"/>
              <w:rPr>
                <w:rFonts w:cs="Arial"/>
              </w:rPr>
            </w:pPr>
            <w:r w:rsidRPr="00336E32">
              <w:rPr>
                <w:rFonts w:cs="Arial"/>
              </w:rPr>
              <w:t>Park West/ Cherry Orchard</w:t>
            </w:r>
          </w:p>
        </w:tc>
        <w:tc>
          <w:tcPr>
            <w:tcW w:w="2551" w:type="dxa"/>
            <w:tcMar>
              <w:top w:w="0" w:type="dxa"/>
              <w:left w:w="108" w:type="dxa"/>
              <w:bottom w:w="0" w:type="dxa"/>
              <w:right w:w="108" w:type="dxa"/>
            </w:tcMar>
          </w:tcPr>
          <w:p w14:paraId="46144727" w14:textId="77777777" w:rsidR="00A238EE" w:rsidRPr="00336E32" w:rsidRDefault="00A238EE" w:rsidP="00A238EE">
            <w:pPr>
              <w:jc w:val="center"/>
              <w:rPr>
                <w:rFonts w:cs="Arial"/>
              </w:rPr>
            </w:pPr>
            <w:r w:rsidRPr="00336E32">
              <w:rPr>
                <w:rFonts w:cs="Arial"/>
              </w:rPr>
              <w:t>-</w:t>
            </w:r>
          </w:p>
        </w:tc>
        <w:tc>
          <w:tcPr>
            <w:tcW w:w="2268" w:type="dxa"/>
            <w:tcMar>
              <w:top w:w="0" w:type="dxa"/>
              <w:left w:w="108" w:type="dxa"/>
              <w:bottom w:w="0" w:type="dxa"/>
              <w:right w:w="108" w:type="dxa"/>
            </w:tcMar>
          </w:tcPr>
          <w:p w14:paraId="12FA84F4" w14:textId="77777777" w:rsidR="00A238EE" w:rsidRPr="00336E32" w:rsidRDefault="00A238EE" w:rsidP="00A238EE">
            <w:pPr>
              <w:jc w:val="center"/>
              <w:rPr>
                <w:rFonts w:cs="Arial"/>
              </w:rPr>
            </w:pPr>
            <w:r w:rsidRPr="00336E32">
              <w:rPr>
                <w:rFonts w:cs="Arial"/>
              </w:rPr>
              <w:t>-</w:t>
            </w:r>
          </w:p>
        </w:tc>
      </w:tr>
      <w:tr w:rsidR="00A238EE" w:rsidRPr="00B40734" w14:paraId="56C2DBF0" w14:textId="77777777" w:rsidTr="00A238EE">
        <w:trPr>
          <w:jc w:val="center"/>
        </w:trPr>
        <w:tc>
          <w:tcPr>
            <w:tcW w:w="2278" w:type="dxa"/>
            <w:tcMar>
              <w:top w:w="0" w:type="dxa"/>
              <w:left w:w="108" w:type="dxa"/>
              <w:bottom w:w="0" w:type="dxa"/>
              <w:right w:w="108" w:type="dxa"/>
            </w:tcMar>
          </w:tcPr>
          <w:p w14:paraId="227105DB" w14:textId="77777777" w:rsidR="00A238EE" w:rsidRPr="00336E32" w:rsidRDefault="00A238EE" w:rsidP="00A238EE">
            <w:pPr>
              <w:jc w:val="left"/>
              <w:rPr>
                <w:rFonts w:cs="Arial"/>
              </w:rPr>
            </w:pPr>
            <w:r w:rsidRPr="00336E32">
              <w:rPr>
                <w:rFonts w:cs="Arial"/>
              </w:rPr>
              <w:t>Markets Area</w:t>
            </w:r>
          </w:p>
        </w:tc>
        <w:tc>
          <w:tcPr>
            <w:tcW w:w="2551" w:type="dxa"/>
            <w:tcMar>
              <w:top w:w="0" w:type="dxa"/>
              <w:left w:w="108" w:type="dxa"/>
              <w:bottom w:w="0" w:type="dxa"/>
              <w:right w:w="108" w:type="dxa"/>
            </w:tcMar>
          </w:tcPr>
          <w:p w14:paraId="64FA7221" w14:textId="77777777" w:rsidR="00A238EE" w:rsidRPr="00336E32" w:rsidRDefault="00A238EE" w:rsidP="00A238EE">
            <w:pPr>
              <w:jc w:val="center"/>
              <w:rPr>
                <w:rFonts w:cs="Arial"/>
              </w:rPr>
            </w:pPr>
            <w:r w:rsidRPr="00336E32">
              <w:rPr>
                <w:rFonts w:cs="Arial"/>
              </w:rPr>
              <w:t>-</w:t>
            </w:r>
          </w:p>
        </w:tc>
        <w:tc>
          <w:tcPr>
            <w:tcW w:w="2268" w:type="dxa"/>
            <w:tcMar>
              <w:top w:w="0" w:type="dxa"/>
              <w:left w:w="108" w:type="dxa"/>
              <w:bottom w:w="0" w:type="dxa"/>
              <w:right w:w="108" w:type="dxa"/>
            </w:tcMar>
          </w:tcPr>
          <w:p w14:paraId="76F95871" w14:textId="77777777" w:rsidR="00A238EE" w:rsidRPr="00336E32" w:rsidRDefault="00A238EE" w:rsidP="00A238EE">
            <w:pPr>
              <w:jc w:val="center"/>
              <w:rPr>
                <w:rFonts w:cs="Arial"/>
              </w:rPr>
            </w:pPr>
            <w:r w:rsidRPr="00336E32">
              <w:rPr>
                <w:rFonts w:cs="Arial"/>
              </w:rPr>
              <w:t>-</w:t>
            </w:r>
          </w:p>
        </w:tc>
      </w:tr>
      <w:tr w:rsidR="00A238EE" w:rsidRPr="00B40734" w14:paraId="183F390C" w14:textId="77777777" w:rsidTr="00A238EE">
        <w:trPr>
          <w:jc w:val="center"/>
        </w:trPr>
        <w:tc>
          <w:tcPr>
            <w:tcW w:w="2278" w:type="dxa"/>
            <w:tcMar>
              <w:top w:w="0" w:type="dxa"/>
              <w:left w:w="108" w:type="dxa"/>
              <w:bottom w:w="0" w:type="dxa"/>
              <w:right w:w="108" w:type="dxa"/>
            </w:tcMar>
          </w:tcPr>
          <w:p w14:paraId="0C7C6DD1" w14:textId="77777777" w:rsidR="00A238EE" w:rsidRPr="00336E32" w:rsidRDefault="00A238EE" w:rsidP="00A238EE">
            <w:pPr>
              <w:jc w:val="left"/>
              <w:rPr>
                <w:rFonts w:cs="Arial"/>
              </w:rPr>
            </w:pPr>
            <w:r w:rsidRPr="00336E32">
              <w:rPr>
                <w:rFonts w:cs="Arial"/>
              </w:rPr>
              <w:t>Total SDRAs</w:t>
            </w:r>
          </w:p>
        </w:tc>
        <w:tc>
          <w:tcPr>
            <w:tcW w:w="2551" w:type="dxa"/>
            <w:tcMar>
              <w:top w:w="0" w:type="dxa"/>
              <w:left w:w="108" w:type="dxa"/>
              <w:bottom w:w="0" w:type="dxa"/>
              <w:right w:w="108" w:type="dxa"/>
            </w:tcMar>
          </w:tcPr>
          <w:p w14:paraId="1C8DA66C" w14:textId="77777777" w:rsidR="00A238EE" w:rsidRPr="00336E32" w:rsidRDefault="00A238EE" w:rsidP="00A238EE">
            <w:pPr>
              <w:jc w:val="center"/>
              <w:rPr>
                <w:rFonts w:cs="Arial"/>
              </w:rPr>
            </w:pPr>
            <w:r w:rsidRPr="00336E32">
              <w:rPr>
                <w:rFonts w:cs="Arial"/>
              </w:rPr>
              <w:t>21</w:t>
            </w:r>
          </w:p>
        </w:tc>
        <w:tc>
          <w:tcPr>
            <w:tcW w:w="2268" w:type="dxa"/>
            <w:tcMar>
              <w:top w:w="0" w:type="dxa"/>
              <w:left w:w="108" w:type="dxa"/>
              <w:bottom w:w="0" w:type="dxa"/>
              <w:right w:w="108" w:type="dxa"/>
            </w:tcMar>
          </w:tcPr>
          <w:p w14:paraId="01363942" w14:textId="77777777" w:rsidR="00A238EE" w:rsidRPr="00336E32" w:rsidRDefault="00A238EE" w:rsidP="00A238EE">
            <w:pPr>
              <w:jc w:val="center"/>
              <w:rPr>
                <w:rFonts w:cs="Arial"/>
                <w:b/>
              </w:rPr>
            </w:pPr>
            <w:r w:rsidRPr="00336E32">
              <w:rPr>
                <w:rFonts w:cs="Arial"/>
                <w:b/>
              </w:rPr>
              <w:t>10,038</w:t>
            </w:r>
          </w:p>
        </w:tc>
      </w:tr>
    </w:tbl>
    <w:p w14:paraId="4C7C514F" w14:textId="77777777" w:rsidR="00A238EE" w:rsidRPr="00B40734" w:rsidRDefault="00A238EE" w:rsidP="00A238EE"/>
    <w:p w14:paraId="584821C5" w14:textId="77777777" w:rsidR="00A238EE" w:rsidRPr="00B40734" w:rsidRDefault="00A238EE" w:rsidP="00A238EE"/>
    <w:p w14:paraId="62447175" w14:textId="663C4D67" w:rsidR="00A238EE" w:rsidRDefault="00A238EE" w:rsidP="00A238EE">
      <w:pPr>
        <w:keepNext/>
        <w:spacing w:after="200" w:line="276" w:lineRule="auto"/>
        <w:contextualSpacing/>
        <w:jc w:val="center"/>
        <w:rPr>
          <w:rFonts w:eastAsia="Calibri" w:cs="Arial"/>
          <w:b/>
          <w:bCs/>
          <w:szCs w:val="16"/>
        </w:rPr>
      </w:pPr>
      <w:r w:rsidRPr="00B40734">
        <w:rPr>
          <w:rFonts w:eastAsia="Calibri" w:cstheme="minorHAnsi"/>
          <w:b/>
          <w:bCs/>
          <w:szCs w:val="16"/>
        </w:rPr>
        <w:br w:type="column"/>
      </w:r>
      <w:bookmarkStart w:id="28" w:name="_Ref178850038"/>
      <w:bookmarkStart w:id="29" w:name="_Toc178675190"/>
      <w:bookmarkStart w:id="30" w:name="_Toc178675405"/>
      <w:bookmarkStart w:id="31" w:name="_Toc178675512"/>
      <w:bookmarkStart w:id="32" w:name="_Toc180059284"/>
      <w:r w:rsidRPr="00B40734">
        <w:rPr>
          <w:rFonts w:eastAsia="Calibri" w:cstheme="minorHAnsi"/>
          <w:b/>
          <w:bCs/>
          <w:szCs w:val="16"/>
        </w:rPr>
        <w:lastRenderedPageBreak/>
        <w:t>Table</w:t>
      </w:r>
      <w:bookmarkEnd w:id="28"/>
      <w:r w:rsidRPr="00B40734">
        <w:rPr>
          <w:rFonts w:eastAsia="Calibri" w:cstheme="minorHAnsi"/>
          <w:b/>
          <w:bCs/>
          <w:szCs w:val="16"/>
        </w:rPr>
        <w:t xml:space="preserve"> </w:t>
      </w:r>
      <w:r w:rsidR="00DC4656">
        <w:rPr>
          <w:rFonts w:eastAsia="Calibri" w:cstheme="minorHAnsi"/>
          <w:b/>
          <w:bCs/>
          <w:szCs w:val="16"/>
        </w:rPr>
        <w:t>9</w:t>
      </w:r>
      <w:r w:rsidRPr="00B40734">
        <w:rPr>
          <w:rFonts w:eastAsia="Calibri" w:cstheme="minorHAnsi"/>
          <w:b/>
          <w:bCs/>
          <w:szCs w:val="16"/>
        </w:rPr>
        <w:t xml:space="preserve">: </w:t>
      </w:r>
      <w:r w:rsidRPr="00B40734">
        <w:rPr>
          <w:rFonts w:eastAsia="Calibri" w:cs="Arial"/>
          <w:b/>
          <w:bCs/>
          <w:szCs w:val="16"/>
        </w:rPr>
        <w:t xml:space="preserve">Commercial grants </w:t>
      </w:r>
      <w:r w:rsidR="006260E3">
        <w:rPr>
          <w:rFonts w:eastAsia="Calibri" w:cs="Arial"/>
          <w:b/>
          <w:bCs/>
          <w:szCs w:val="16"/>
        </w:rPr>
        <w:t xml:space="preserve">of permission </w:t>
      </w:r>
      <w:r w:rsidRPr="00B40734">
        <w:rPr>
          <w:rFonts w:eastAsia="Calibri" w:cs="Arial"/>
          <w:b/>
          <w:bCs/>
          <w:szCs w:val="16"/>
        </w:rPr>
        <w:t xml:space="preserve">per SDRA, </w:t>
      </w:r>
      <w:bookmarkEnd w:id="29"/>
      <w:bookmarkEnd w:id="30"/>
      <w:bookmarkEnd w:id="31"/>
      <w:r w:rsidRPr="00B40734">
        <w:rPr>
          <w:rFonts w:eastAsia="Calibri" w:cs="Arial"/>
          <w:b/>
          <w:bCs/>
          <w:szCs w:val="16"/>
        </w:rPr>
        <w:t>202</w:t>
      </w:r>
      <w:bookmarkEnd w:id="32"/>
      <w:r w:rsidRPr="00B40734">
        <w:rPr>
          <w:rFonts w:eastAsia="Calibri" w:cs="Arial"/>
          <w:b/>
          <w:bCs/>
          <w:szCs w:val="16"/>
        </w:rPr>
        <w:t>4</w:t>
      </w:r>
    </w:p>
    <w:p w14:paraId="09B7CDEC" w14:textId="6B637AFF" w:rsidR="00AC4A42" w:rsidRDefault="00AC4A42" w:rsidP="00A238EE">
      <w:pPr>
        <w:keepNext/>
        <w:spacing w:after="200" w:line="276" w:lineRule="auto"/>
        <w:contextualSpacing/>
        <w:jc w:val="center"/>
        <w:rPr>
          <w:rFonts w:cs="Arial"/>
        </w:rPr>
      </w:pPr>
      <w:r w:rsidRPr="005A4BC4">
        <w:rPr>
          <w:rFonts w:cs="Arial"/>
        </w:rPr>
        <w:t>(Source: DCC Planning Department</w:t>
      </w:r>
      <w:r>
        <w:rPr>
          <w:rFonts w:cs="Arial"/>
        </w:rPr>
        <w:t xml:space="preserve"> – APAS system query</w:t>
      </w:r>
      <w:r w:rsidRPr="005A4BC4">
        <w:rPr>
          <w:rFonts w:cs="Arial"/>
        </w:rPr>
        <w:t>)</w:t>
      </w:r>
    </w:p>
    <w:p w14:paraId="6ACB63BA" w14:textId="77777777" w:rsidR="004700E7" w:rsidRPr="00B40734" w:rsidRDefault="004700E7" w:rsidP="00A238EE">
      <w:pPr>
        <w:keepNext/>
        <w:spacing w:after="200" w:line="276" w:lineRule="auto"/>
        <w:contextualSpacing/>
        <w:jc w:val="center"/>
        <w:rPr>
          <w:rFonts w:eastAsia="Calibri" w:cstheme="minorHAnsi"/>
          <w:b/>
          <w:bCs/>
          <w:szCs w:val="16"/>
        </w:rPr>
      </w:pPr>
    </w:p>
    <w:tbl>
      <w:tblPr>
        <w:tblStyle w:val="TableGrid1"/>
        <w:tblW w:w="694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44"/>
        <w:gridCol w:w="1883"/>
        <w:gridCol w:w="1514"/>
      </w:tblGrid>
      <w:tr w:rsidR="00A238EE" w:rsidRPr="00B40734" w14:paraId="22E3BE1C" w14:textId="77777777" w:rsidTr="00A238EE">
        <w:trPr>
          <w:jc w:val="center"/>
        </w:trPr>
        <w:tc>
          <w:tcPr>
            <w:tcW w:w="3544" w:type="dxa"/>
          </w:tcPr>
          <w:p w14:paraId="76C18F1C" w14:textId="77777777" w:rsidR="00A238EE" w:rsidRPr="00B40734" w:rsidRDefault="00A238EE" w:rsidP="00A238EE">
            <w:pPr>
              <w:jc w:val="center"/>
              <w:rPr>
                <w:rFonts w:cs="Arial"/>
                <w:b/>
              </w:rPr>
            </w:pPr>
            <w:r w:rsidRPr="00B40734">
              <w:rPr>
                <w:rFonts w:cs="Arial"/>
                <w:b/>
              </w:rPr>
              <w:t>SDRA</w:t>
            </w:r>
          </w:p>
        </w:tc>
        <w:tc>
          <w:tcPr>
            <w:tcW w:w="1883" w:type="dxa"/>
          </w:tcPr>
          <w:p w14:paraId="7A9C1DCE" w14:textId="77777777" w:rsidR="00A238EE" w:rsidRPr="00B40734" w:rsidRDefault="00A238EE" w:rsidP="00A238EE">
            <w:pPr>
              <w:jc w:val="center"/>
              <w:rPr>
                <w:rFonts w:cs="Arial"/>
                <w:b/>
              </w:rPr>
            </w:pPr>
            <w:r w:rsidRPr="00B40734">
              <w:rPr>
                <w:rFonts w:cs="Arial"/>
                <w:b/>
              </w:rPr>
              <w:t>No. of Commercial Applications</w:t>
            </w:r>
          </w:p>
        </w:tc>
        <w:tc>
          <w:tcPr>
            <w:tcW w:w="1514" w:type="dxa"/>
          </w:tcPr>
          <w:p w14:paraId="523052C2" w14:textId="49B5C6E2" w:rsidR="00A238EE" w:rsidRPr="00B40734" w:rsidRDefault="00A238EE" w:rsidP="00A238EE">
            <w:pPr>
              <w:jc w:val="center"/>
              <w:rPr>
                <w:rFonts w:cs="Arial"/>
                <w:b/>
              </w:rPr>
            </w:pPr>
            <w:r w:rsidRPr="00B40734">
              <w:rPr>
                <w:rFonts w:cs="Arial"/>
                <w:b/>
              </w:rPr>
              <w:t>Total floor area (</w:t>
            </w:r>
            <w:proofErr w:type="spellStart"/>
            <w:r w:rsidRPr="00B40734">
              <w:rPr>
                <w:rFonts w:cs="Arial"/>
                <w:b/>
              </w:rPr>
              <w:t>sq</w:t>
            </w:r>
            <w:proofErr w:type="spellEnd"/>
            <w:r w:rsidR="000539A9">
              <w:rPr>
                <w:rFonts w:cs="Arial"/>
                <w:b/>
              </w:rPr>
              <w:t xml:space="preserve"> </w:t>
            </w:r>
            <w:r w:rsidRPr="00B40734">
              <w:rPr>
                <w:rFonts w:cs="Arial"/>
                <w:b/>
              </w:rPr>
              <w:t>m)</w:t>
            </w:r>
          </w:p>
        </w:tc>
      </w:tr>
      <w:tr w:rsidR="00A238EE" w:rsidRPr="00B40734" w14:paraId="768E3C33" w14:textId="77777777" w:rsidTr="00A238EE">
        <w:trPr>
          <w:jc w:val="center"/>
        </w:trPr>
        <w:tc>
          <w:tcPr>
            <w:tcW w:w="3544" w:type="dxa"/>
          </w:tcPr>
          <w:p w14:paraId="160105A7" w14:textId="77777777" w:rsidR="00A238EE" w:rsidRPr="00B40734" w:rsidRDefault="00A238EE" w:rsidP="00A238EE">
            <w:pPr>
              <w:rPr>
                <w:rFonts w:cs="Arial"/>
              </w:rPr>
            </w:pPr>
            <w:proofErr w:type="spellStart"/>
            <w:r w:rsidRPr="00B40734">
              <w:rPr>
                <w:rFonts w:cs="Arial"/>
              </w:rPr>
              <w:t>Clongriffin</w:t>
            </w:r>
            <w:proofErr w:type="spellEnd"/>
            <w:r w:rsidRPr="00B40734">
              <w:rPr>
                <w:rFonts w:cs="Arial"/>
              </w:rPr>
              <w:t>/</w:t>
            </w:r>
            <w:proofErr w:type="spellStart"/>
            <w:r w:rsidRPr="00B40734">
              <w:rPr>
                <w:rFonts w:cs="Arial"/>
              </w:rPr>
              <w:t>Belmayne</w:t>
            </w:r>
            <w:proofErr w:type="spellEnd"/>
          </w:p>
        </w:tc>
        <w:tc>
          <w:tcPr>
            <w:tcW w:w="1883" w:type="dxa"/>
          </w:tcPr>
          <w:p w14:paraId="4042841A" w14:textId="77777777" w:rsidR="00A238EE" w:rsidRPr="00720329" w:rsidRDefault="00A238EE" w:rsidP="00A238EE">
            <w:pPr>
              <w:jc w:val="center"/>
              <w:rPr>
                <w:rFonts w:cs="Arial"/>
              </w:rPr>
            </w:pPr>
            <w:r w:rsidRPr="00720329">
              <w:rPr>
                <w:rFonts w:cs="Arial"/>
              </w:rPr>
              <w:t>4</w:t>
            </w:r>
          </w:p>
        </w:tc>
        <w:tc>
          <w:tcPr>
            <w:tcW w:w="1514" w:type="dxa"/>
          </w:tcPr>
          <w:p w14:paraId="52D2A845" w14:textId="77777777" w:rsidR="00A238EE" w:rsidRPr="00720329" w:rsidRDefault="00A238EE" w:rsidP="00A238EE">
            <w:pPr>
              <w:jc w:val="center"/>
              <w:rPr>
                <w:rFonts w:cs="Arial"/>
              </w:rPr>
            </w:pPr>
            <w:r w:rsidRPr="00720329">
              <w:rPr>
                <w:rFonts w:cs="Arial"/>
              </w:rPr>
              <w:t>590</w:t>
            </w:r>
          </w:p>
        </w:tc>
      </w:tr>
      <w:tr w:rsidR="00A238EE" w:rsidRPr="00B40734" w14:paraId="7487F41E" w14:textId="77777777" w:rsidTr="00A238EE">
        <w:trPr>
          <w:jc w:val="center"/>
        </w:trPr>
        <w:tc>
          <w:tcPr>
            <w:tcW w:w="3544" w:type="dxa"/>
          </w:tcPr>
          <w:p w14:paraId="49A86843" w14:textId="77777777" w:rsidR="00A238EE" w:rsidRPr="00B40734" w:rsidRDefault="00A238EE" w:rsidP="00A238EE">
            <w:pPr>
              <w:rPr>
                <w:rFonts w:cs="Arial"/>
              </w:rPr>
            </w:pPr>
            <w:r w:rsidRPr="00B40734">
              <w:rPr>
                <w:rFonts w:cs="Arial"/>
              </w:rPr>
              <w:t>Ballymun</w:t>
            </w:r>
          </w:p>
        </w:tc>
        <w:tc>
          <w:tcPr>
            <w:tcW w:w="1883" w:type="dxa"/>
          </w:tcPr>
          <w:p w14:paraId="5CB4B65E" w14:textId="77777777" w:rsidR="00A238EE" w:rsidRPr="00720329" w:rsidRDefault="00A238EE" w:rsidP="00A238EE">
            <w:pPr>
              <w:jc w:val="center"/>
              <w:rPr>
                <w:rFonts w:cs="Arial"/>
              </w:rPr>
            </w:pPr>
            <w:r w:rsidRPr="00720329">
              <w:rPr>
                <w:rFonts w:cs="Arial"/>
              </w:rPr>
              <w:t>8</w:t>
            </w:r>
          </w:p>
        </w:tc>
        <w:tc>
          <w:tcPr>
            <w:tcW w:w="1514" w:type="dxa"/>
          </w:tcPr>
          <w:p w14:paraId="1BC520CC" w14:textId="77777777" w:rsidR="00A238EE" w:rsidRPr="00720329" w:rsidRDefault="00A238EE" w:rsidP="00A238EE">
            <w:pPr>
              <w:jc w:val="center"/>
              <w:rPr>
                <w:rFonts w:cs="Arial"/>
              </w:rPr>
            </w:pPr>
            <w:r w:rsidRPr="00720329">
              <w:rPr>
                <w:rFonts w:cs="Arial"/>
              </w:rPr>
              <w:t>689</w:t>
            </w:r>
          </w:p>
        </w:tc>
      </w:tr>
      <w:tr w:rsidR="00A238EE" w:rsidRPr="00B40734" w14:paraId="04494DE6" w14:textId="77777777" w:rsidTr="00A238EE">
        <w:trPr>
          <w:jc w:val="center"/>
        </w:trPr>
        <w:tc>
          <w:tcPr>
            <w:tcW w:w="3544" w:type="dxa"/>
          </w:tcPr>
          <w:p w14:paraId="1EAD2414" w14:textId="77777777" w:rsidR="00A238EE" w:rsidRPr="00B40734" w:rsidRDefault="00A238EE" w:rsidP="00A238EE">
            <w:pPr>
              <w:rPr>
                <w:rFonts w:cs="Arial"/>
              </w:rPr>
            </w:pPr>
            <w:r w:rsidRPr="00B40734">
              <w:rPr>
                <w:rFonts w:cs="Arial"/>
              </w:rPr>
              <w:t>Finglas Village and Jamestown Road</w:t>
            </w:r>
          </w:p>
        </w:tc>
        <w:tc>
          <w:tcPr>
            <w:tcW w:w="1883" w:type="dxa"/>
          </w:tcPr>
          <w:p w14:paraId="734DCC6F" w14:textId="77777777" w:rsidR="00A238EE" w:rsidRPr="00720329" w:rsidRDefault="00A238EE" w:rsidP="00A238EE">
            <w:pPr>
              <w:jc w:val="center"/>
              <w:rPr>
                <w:rFonts w:cs="Arial"/>
              </w:rPr>
            </w:pPr>
            <w:r w:rsidRPr="00720329">
              <w:rPr>
                <w:rFonts w:cs="Arial"/>
              </w:rPr>
              <w:t>3</w:t>
            </w:r>
          </w:p>
        </w:tc>
        <w:tc>
          <w:tcPr>
            <w:tcW w:w="1514" w:type="dxa"/>
          </w:tcPr>
          <w:p w14:paraId="0AA8AEDF" w14:textId="77777777" w:rsidR="00A238EE" w:rsidRPr="00720329" w:rsidRDefault="00A238EE" w:rsidP="00A238EE">
            <w:pPr>
              <w:jc w:val="center"/>
              <w:rPr>
                <w:rFonts w:cs="Arial"/>
              </w:rPr>
            </w:pPr>
            <w:r w:rsidRPr="00720329">
              <w:rPr>
                <w:rFonts w:cs="Arial"/>
              </w:rPr>
              <w:t>368</w:t>
            </w:r>
          </w:p>
        </w:tc>
      </w:tr>
      <w:tr w:rsidR="00A238EE" w:rsidRPr="00B40734" w14:paraId="60068B46" w14:textId="77777777" w:rsidTr="00A238EE">
        <w:trPr>
          <w:jc w:val="center"/>
        </w:trPr>
        <w:tc>
          <w:tcPr>
            <w:tcW w:w="3544" w:type="dxa"/>
          </w:tcPr>
          <w:p w14:paraId="0B3E1C77" w14:textId="77777777" w:rsidR="00A238EE" w:rsidRPr="00B40734" w:rsidRDefault="00A238EE" w:rsidP="00A238EE">
            <w:pPr>
              <w:rPr>
                <w:rFonts w:cs="Arial"/>
              </w:rPr>
            </w:pPr>
            <w:r w:rsidRPr="00B40734">
              <w:rPr>
                <w:rFonts w:cs="Arial"/>
              </w:rPr>
              <w:t>Park West/Cherry Orchard</w:t>
            </w:r>
          </w:p>
        </w:tc>
        <w:tc>
          <w:tcPr>
            <w:tcW w:w="1883" w:type="dxa"/>
          </w:tcPr>
          <w:p w14:paraId="68D6C5A3" w14:textId="77777777" w:rsidR="00A238EE" w:rsidRPr="00720329" w:rsidRDefault="00A238EE" w:rsidP="00A238EE">
            <w:pPr>
              <w:jc w:val="center"/>
              <w:rPr>
                <w:rFonts w:cs="Arial"/>
              </w:rPr>
            </w:pPr>
            <w:r w:rsidRPr="00720329">
              <w:rPr>
                <w:rFonts w:cs="Arial"/>
              </w:rPr>
              <w:t>1</w:t>
            </w:r>
          </w:p>
        </w:tc>
        <w:tc>
          <w:tcPr>
            <w:tcW w:w="1514" w:type="dxa"/>
          </w:tcPr>
          <w:p w14:paraId="1268F834" w14:textId="77777777" w:rsidR="00A238EE" w:rsidRPr="00720329" w:rsidRDefault="00A238EE" w:rsidP="00A238EE">
            <w:pPr>
              <w:jc w:val="center"/>
              <w:rPr>
                <w:rFonts w:cs="Arial"/>
              </w:rPr>
            </w:pPr>
            <w:r w:rsidRPr="00720329">
              <w:rPr>
                <w:rFonts w:cs="Arial"/>
              </w:rPr>
              <w:t>26</w:t>
            </w:r>
          </w:p>
        </w:tc>
      </w:tr>
      <w:tr w:rsidR="00A238EE" w:rsidRPr="00B40734" w14:paraId="21FB40B4" w14:textId="77777777" w:rsidTr="00A238EE">
        <w:trPr>
          <w:jc w:val="center"/>
        </w:trPr>
        <w:tc>
          <w:tcPr>
            <w:tcW w:w="3544" w:type="dxa"/>
          </w:tcPr>
          <w:p w14:paraId="7619F8F5" w14:textId="77777777" w:rsidR="00A238EE" w:rsidRPr="00B40734" w:rsidRDefault="00A238EE" w:rsidP="00A238EE">
            <w:pPr>
              <w:rPr>
                <w:rFonts w:cs="Arial"/>
              </w:rPr>
            </w:pPr>
            <w:r w:rsidRPr="00B40734">
              <w:rPr>
                <w:rFonts w:cs="Arial"/>
              </w:rPr>
              <w:t>Naas Road</w:t>
            </w:r>
          </w:p>
        </w:tc>
        <w:tc>
          <w:tcPr>
            <w:tcW w:w="1883" w:type="dxa"/>
          </w:tcPr>
          <w:p w14:paraId="5D70CADC" w14:textId="77777777" w:rsidR="00A238EE" w:rsidRPr="00720329" w:rsidRDefault="00A238EE" w:rsidP="00A238EE">
            <w:pPr>
              <w:jc w:val="center"/>
              <w:rPr>
                <w:rFonts w:cs="Arial"/>
              </w:rPr>
            </w:pPr>
            <w:r w:rsidRPr="00720329">
              <w:rPr>
                <w:rFonts w:cs="Arial"/>
              </w:rPr>
              <w:t>3</w:t>
            </w:r>
          </w:p>
        </w:tc>
        <w:tc>
          <w:tcPr>
            <w:tcW w:w="1514" w:type="dxa"/>
          </w:tcPr>
          <w:p w14:paraId="4B233D80" w14:textId="77777777" w:rsidR="00A238EE" w:rsidRPr="00720329" w:rsidRDefault="00A238EE" w:rsidP="00A238EE">
            <w:pPr>
              <w:jc w:val="center"/>
              <w:rPr>
                <w:rFonts w:cs="Arial"/>
              </w:rPr>
            </w:pPr>
            <w:r w:rsidRPr="00720329">
              <w:rPr>
                <w:rFonts w:cs="Arial"/>
              </w:rPr>
              <w:t>33,218</w:t>
            </w:r>
          </w:p>
        </w:tc>
      </w:tr>
      <w:tr w:rsidR="00A238EE" w:rsidRPr="00B40734" w14:paraId="3C6E0E5F" w14:textId="77777777" w:rsidTr="00A238EE">
        <w:trPr>
          <w:jc w:val="center"/>
        </w:trPr>
        <w:tc>
          <w:tcPr>
            <w:tcW w:w="3544" w:type="dxa"/>
          </w:tcPr>
          <w:p w14:paraId="3EEDEDC4" w14:textId="77777777" w:rsidR="00A238EE" w:rsidRPr="00B40734" w:rsidRDefault="00A238EE" w:rsidP="00A238EE">
            <w:pPr>
              <w:rPr>
                <w:rFonts w:cs="Arial"/>
              </w:rPr>
            </w:pPr>
            <w:r w:rsidRPr="00B40734">
              <w:rPr>
                <w:rFonts w:cs="Arial"/>
              </w:rPr>
              <w:t>Docklands</w:t>
            </w:r>
          </w:p>
        </w:tc>
        <w:tc>
          <w:tcPr>
            <w:tcW w:w="1883" w:type="dxa"/>
          </w:tcPr>
          <w:p w14:paraId="48C750C5" w14:textId="77777777" w:rsidR="00A238EE" w:rsidRPr="00720329" w:rsidRDefault="00A238EE" w:rsidP="00A238EE">
            <w:pPr>
              <w:jc w:val="center"/>
              <w:rPr>
                <w:rFonts w:cs="Arial"/>
              </w:rPr>
            </w:pPr>
            <w:r w:rsidRPr="00720329">
              <w:rPr>
                <w:rFonts w:cs="Arial"/>
              </w:rPr>
              <w:t>47</w:t>
            </w:r>
          </w:p>
        </w:tc>
        <w:tc>
          <w:tcPr>
            <w:tcW w:w="1514" w:type="dxa"/>
          </w:tcPr>
          <w:p w14:paraId="217263DE" w14:textId="77777777" w:rsidR="00A238EE" w:rsidRPr="00720329" w:rsidRDefault="00A238EE" w:rsidP="00A238EE">
            <w:pPr>
              <w:jc w:val="center"/>
              <w:rPr>
                <w:rFonts w:cs="Arial"/>
              </w:rPr>
            </w:pPr>
            <w:r w:rsidRPr="00720329">
              <w:rPr>
                <w:rFonts w:cs="Arial"/>
              </w:rPr>
              <w:t>25,581</w:t>
            </w:r>
          </w:p>
        </w:tc>
      </w:tr>
      <w:tr w:rsidR="00A238EE" w:rsidRPr="00B40734" w14:paraId="714938B1" w14:textId="77777777" w:rsidTr="00A238EE">
        <w:trPr>
          <w:jc w:val="center"/>
        </w:trPr>
        <w:tc>
          <w:tcPr>
            <w:tcW w:w="3544" w:type="dxa"/>
          </w:tcPr>
          <w:p w14:paraId="652A1A5E" w14:textId="77777777" w:rsidR="00A238EE" w:rsidRPr="00B40734" w:rsidRDefault="00A238EE" w:rsidP="00A238EE">
            <w:pPr>
              <w:rPr>
                <w:rFonts w:cs="Arial"/>
              </w:rPr>
            </w:pPr>
            <w:r w:rsidRPr="00B40734">
              <w:rPr>
                <w:rFonts w:cs="Arial"/>
              </w:rPr>
              <w:t>Heuston Station</w:t>
            </w:r>
          </w:p>
        </w:tc>
        <w:tc>
          <w:tcPr>
            <w:tcW w:w="1883" w:type="dxa"/>
          </w:tcPr>
          <w:p w14:paraId="1B426968" w14:textId="77777777" w:rsidR="00A238EE" w:rsidRPr="00720329" w:rsidRDefault="00A238EE" w:rsidP="00A238EE">
            <w:pPr>
              <w:jc w:val="center"/>
              <w:rPr>
                <w:rFonts w:cs="Arial"/>
              </w:rPr>
            </w:pPr>
            <w:r w:rsidRPr="00720329">
              <w:rPr>
                <w:rFonts w:cs="Arial"/>
              </w:rPr>
              <w:t>3</w:t>
            </w:r>
          </w:p>
        </w:tc>
        <w:tc>
          <w:tcPr>
            <w:tcW w:w="1514" w:type="dxa"/>
          </w:tcPr>
          <w:p w14:paraId="5DD28BC7" w14:textId="77777777" w:rsidR="00A238EE" w:rsidRPr="00720329" w:rsidRDefault="00A238EE" w:rsidP="00A238EE">
            <w:pPr>
              <w:jc w:val="center"/>
              <w:rPr>
                <w:rFonts w:cs="Arial"/>
              </w:rPr>
            </w:pPr>
            <w:r w:rsidRPr="00720329">
              <w:rPr>
                <w:rFonts w:cs="Arial"/>
              </w:rPr>
              <w:t>13,762</w:t>
            </w:r>
          </w:p>
        </w:tc>
      </w:tr>
      <w:tr w:rsidR="00A238EE" w:rsidRPr="00B40734" w14:paraId="50A9E322" w14:textId="77777777" w:rsidTr="00A238EE">
        <w:trPr>
          <w:jc w:val="center"/>
        </w:trPr>
        <w:tc>
          <w:tcPr>
            <w:tcW w:w="3544" w:type="dxa"/>
          </w:tcPr>
          <w:p w14:paraId="2110D19E" w14:textId="77777777" w:rsidR="00A238EE" w:rsidRPr="00B40734" w:rsidRDefault="00A238EE" w:rsidP="00A238EE">
            <w:pPr>
              <w:rPr>
                <w:rFonts w:cs="Arial"/>
              </w:rPr>
            </w:pPr>
            <w:proofErr w:type="spellStart"/>
            <w:r w:rsidRPr="00B40734">
              <w:rPr>
                <w:rFonts w:cs="Arial"/>
              </w:rPr>
              <w:t>Grangegorman</w:t>
            </w:r>
            <w:proofErr w:type="spellEnd"/>
            <w:r w:rsidRPr="00B40734">
              <w:rPr>
                <w:rFonts w:cs="Arial"/>
              </w:rPr>
              <w:t>/Broadstone</w:t>
            </w:r>
          </w:p>
        </w:tc>
        <w:tc>
          <w:tcPr>
            <w:tcW w:w="1883" w:type="dxa"/>
          </w:tcPr>
          <w:p w14:paraId="1D4662DB" w14:textId="77777777" w:rsidR="00A238EE" w:rsidRPr="00720329" w:rsidRDefault="00A238EE" w:rsidP="00A238EE">
            <w:pPr>
              <w:jc w:val="center"/>
              <w:rPr>
                <w:rFonts w:cs="Arial"/>
              </w:rPr>
            </w:pPr>
            <w:r w:rsidRPr="00720329">
              <w:rPr>
                <w:rFonts w:cs="Arial"/>
              </w:rPr>
              <w:t>1</w:t>
            </w:r>
          </w:p>
        </w:tc>
        <w:tc>
          <w:tcPr>
            <w:tcW w:w="1514" w:type="dxa"/>
          </w:tcPr>
          <w:p w14:paraId="304B37D6" w14:textId="77777777" w:rsidR="00A238EE" w:rsidRPr="00720329" w:rsidRDefault="00A238EE" w:rsidP="00A238EE">
            <w:pPr>
              <w:jc w:val="center"/>
              <w:rPr>
                <w:rFonts w:cs="Arial"/>
              </w:rPr>
            </w:pPr>
            <w:r w:rsidRPr="00720329">
              <w:rPr>
                <w:rFonts w:cs="Arial"/>
              </w:rPr>
              <w:t>648</w:t>
            </w:r>
          </w:p>
        </w:tc>
      </w:tr>
      <w:tr w:rsidR="00A238EE" w:rsidRPr="00B40734" w14:paraId="3B08CE5F" w14:textId="77777777" w:rsidTr="00A238EE">
        <w:trPr>
          <w:jc w:val="center"/>
        </w:trPr>
        <w:tc>
          <w:tcPr>
            <w:tcW w:w="3544" w:type="dxa"/>
          </w:tcPr>
          <w:p w14:paraId="207B79C1" w14:textId="77777777" w:rsidR="00A238EE" w:rsidRPr="00B40734" w:rsidRDefault="00A238EE" w:rsidP="00A238EE">
            <w:pPr>
              <w:rPr>
                <w:rFonts w:cs="Arial"/>
              </w:rPr>
            </w:pPr>
            <w:r w:rsidRPr="00B40734">
              <w:rPr>
                <w:rFonts w:cs="Arial"/>
              </w:rPr>
              <w:t>Emmet Road</w:t>
            </w:r>
          </w:p>
        </w:tc>
        <w:tc>
          <w:tcPr>
            <w:tcW w:w="1883" w:type="dxa"/>
          </w:tcPr>
          <w:p w14:paraId="3BFA91E4" w14:textId="77777777" w:rsidR="00A238EE" w:rsidRPr="00720329" w:rsidRDefault="00A238EE" w:rsidP="00A238EE">
            <w:pPr>
              <w:jc w:val="center"/>
              <w:rPr>
                <w:rFonts w:cs="Arial"/>
              </w:rPr>
            </w:pPr>
            <w:r w:rsidRPr="00720329">
              <w:rPr>
                <w:rFonts w:cs="Arial"/>
              </w:rPr>
              <w:t>2</w:t>
            </w:r>
          </w:p>
        </w:tc>
        <w:tc>
          <w:tcPr>
            <w:tcW w:w="1514" w:type="dxa"/>
          </w:tcPr>
          <w:p w14:paraId="16BBBB30" w14:textId="77777777" w:rsidR="00A238EE" w:rsidRPr="00720329" w:rsidRDefault="00A238EE" w:rsidP="00A238EE">
            <w:pPr>
              <w:jc w:val="center"/>
              <w:rPr>
                <w:rFonts w:cs="Arial"/>
              </w:rPr>
            </w:pPr>
            <w:r w:rsidRPr="00720329">
              <w:rPr>
                <w:rFonts w:cs="Arial"/>
              </w:rPr>
              <w:t>16</w:t>
            </w:r>
          </w:p>
        </w:tc>
      </w:tr>
      <w:tr w:rsidR="00A238EE" w:rsidRPr="00B40734" w14:paraId="578E356E" w14:textId="77777777" w:rsidTr="00A238EE">
        <w:trPr>
          <w:jc w:val="center"/>
        </w:trPr>
        <w:tc>
          <w:tcPr>
            <w:tcW w:w="3544" w:type="dxa"/>
          </w:tcPr>
          <w:p w14:paraId="5BE1D340" w14:textId="77777777" w:rsidR="00A238EE" w:rsidRPr="00B40734" w:rsidRDefault="00A238EE" w:rsidP="00A238EE">
            <w:pPr>
              <w:rPr>
                <w:rFonts w:cs="Arial"/>
              </w:rPr>
            </w:pPr>
            <w:r w:rsidRPr="00B40734">
              <w:rPr>
                <w:rFonts w:cs="Arial"/>
              </w:rPr>
              <w:t>Northeast Inner City</w:t>
            </w:r>
          </w:p>
        </w:tc>
        <w:tc>
          <w:tcPr>
            <w:tcW w:w="1883" w:type="dxa"/>
          </w:tcPr>
          <w:p w14:paraId="017215B2" w14:textId="77777777" w:rsidR="00A238EE" w:rsidRPr="00720329" w:rsidRDefault="00A238EE" w:rsidP="00A238EE">
            <w:pPr>
              <w:jc w:val="center"/>
              <w:rPr>
                <w:rFonts w:cs="Arial"/>
              </w:rPr>
            </w:pPr>
            <w:r w:rsidRPr="00720329">
              <w:rPr>
                <w:rFonts w:cs="Arial"/>
              </w:rPr>
              <w:t>37</w:t>
            </w:r>
          </w:p>
        </w:tc>
        <w:tc>
          <w:tcPr>
            <w:tcW w:w="1514" w:type="dxa"/>
          </w:tcPr>
          <w:p w14:paraId="10B7002B" w14:textId="77777777" w:rsidR="00A238EE" w:rsidRPr="00720329" w:rsidRDefault="00A238EE" w:rsidP="00A238EE">
            <w:pPr>
              <w:jc w:val="center"/>
              <w:rPr>
                <w:rFonts w:cs="Arial"/>
              </w:rPr>
            </w:pPr>
            <w:r w:rsidRPr="00720329">
              <w:rPr>
                <w:rFonts w:cs="Arial"/>
              </w:rPr>
              <w:t>27,336</w:t>
            </w:r>
          </w:p>
        </w:tc>
      </w:tr>
      <w:tr w:rsidR="00A238EE" w:rsidRPr="00B40734" w14:paraId="7C03EFBA" w14:textId="77777777" w:rsidTr="00A238EE">
        <w:trPr>
          <w:jc w:val="center"/>
        </w:trPr>
        <w:tc>
          <w:tcPr>
            <w:tcW w:w="3544" w:type="dxa"/>
          </w:tcPr>
          <w:p w14:paraId="05A4B111" w14:textId="77777777" w:rsidR="00A238EE" w:rsidRPr="00B40734" w:rsidRDefault="00A238EE" w:rsidP="00A238EE">
            <w:pPr>
              <w:rPr>
                <w:rFonts w:cs="Arial"/>
              </w:rPr>
            </w:pPr>
            <w:r w:rsidRPr="00B40734">
              <w:rPr>
                <w:rFonts w:cs="Arial"/>
              </w:rPr>
              <w:t xml:space="preserve">St. Teresa’s Gardens and Environs </w:t>
            </w:r>
          </w:p>
        </w:tc>
        <w:tc>
          <w:tcPr>
            <w:tcW w:w="1883" w:type="dxa"/>
          </w:tcPr>
          <w:p w14:paraId="1A298AC8" w14:textId="77777777" w:rsidR="00A238EE" w:rsidRPr="00720329" w:rsidRDefault="00A238EE" w:rsidP="00A238EE">
            <w:pPr>
              <w:jc w:val="center"/>
              <w:rPr>
                <w:rFonts w:cs="Arial"/>
              </w:rPr>
            </w:pPr>
            <w:r w:rsidRPr="00720329">
              <w:rPr>
                <w:rFonts w:cs="Arial"/>
              </w:rPr>
              <w:t>-</w:t>
            </w:r>
          </w:p>
        </w:tc>
        <w:tc>
          <w:tcPr>
            <w:tcW w:w="1514" w:type="dxa"/>
          </w:tcPr>
          <w:p w14:paraId="46BDD793" w14:textId="77777777" w:rsidR="00A238EE" w:rsidRPr="00720329" w:rsidRDefault="00A238EE" w:rsidP="00A238EE">
            <w:pPr>
              <w:jc w:val="center"/>
              <w:rPr>
                <w:rFonts w:cs="Arial"/>
              </w:rPr>
            </w:pPr>
            <w:r w:rsidRPr="00720329">
              <w:rPr>
                <w:rFonts w:cs="Arial"/>
              </w:rPr>
              <w:t>-</w:t>
            </w:r>
          </w:p>
        </w:tc>
      </w:tr>
      <w:tr w:rsidR="00A238EE" w:rsidRPr="00B40734" w14:paraId="0C2C1A96" w14:textId="77777777" w:rsidTr="00A238EE">
        <w:trPr>
          <w:jc w:val="center"/>
        </w:trPr>
        <w:tc>
          <w:tcPr>
            <w:tcW w:w="3544" w:type="dxa"/>
          </w:tcPr>
          <w:p w14:paraId="3E109DCB" w14:textId="77777777" w:rsidR="00A238EE" w:rsidRPr="00B40734" w:rsidRDefault="00A238EE" w:rsidP="00A238EE">
            <w:pPr>
              <w:rPr>
                <w:rFonts w:cs="Arial"/>
              </w:rPr>
            </w:pPr>
            <w:r w:rsidRPr="00B40734">
              <w:rPr>
                <w:rFonts w:cs="Arial"/>
              </w:rPr>
              <w:t>Dolphin House</w:t>
            </w:r>
          </w:p>
        </w:tc>
        <w:tc>
          <w:tcPr>
            <w:tcW w:w="1883" w:type="dxa"/>
          </w:tcPr>
          <w:p w14:paraId="1E824BE4" w14:textId="77777777" w:rsidR="00A238EE" w:rsidRPr="00720329" w:rsidRDefault="00A238EE" w:rsidP="00A238EE">
            <w:pPr>
              <w:jc w:val="center"/>
              <w:rPr>
                <w:rFonts w:cs="Arial"/>
              </w:rPr>
            </w:pPr>
            <w:r w:rsidRPr="00720329">
              <w:rPr>
                <w:rFonts w:cs="Arial"/>
              </w:rPr>
              <w:t>-</w:t>
            </w:r>
          </w:p>
        </w:tc>
        <w:tc>
          <w:tcPr>
            <w:tcW w:w="1514" w:type="dxa"/>
          </w:tcPr>
          <w:p w14:paraId="07A626D3" w14:textId="77777777" w:rsidR="00A238EE" w:rsidRPr="00720329" w:rsidRDefault="00A238EE" w:rsidP="00A238EE">
            <w:pPr>
              <w:jc w:val="center"/>
              <w:rPr>
                <w:rFonts w:cs="Arial"/>
              </w:rPr>
            </w:pPr>
            <w:r w:rsidRPr="00720329">
              <w:rPr>
                <w:rFonts w:cs="Arial"/>
              </w:rPr>
              <w:t>-</w:t>
            </w:r>
          </w:p>
        </w:tc>
      </w:tr>
      <w:tr w:rsidR="00A238EE" w:rsidRPr="00B40734" w14:paraId="13698F56" w14:textId="77777777" w:rsidTr="00A238EE">
        <w:trPr>
          <w:jc w:val="center"/>
        </w:trPr>
        <w:tc>
          <w:tcPr>
            <w:tcW w:w="3544" w:type="dxa"/>
          </w:tcPr>
          <w:p w14:paraId="1304AD3C" w14:textId="77777777" w:rsidR="00A238EE" w:rsidRPr="00B40734" w:rsidRDefault="00A238EE" w:rsidP="00A238EE">
            <w:pPr>
              <w:rPr>
                <w:rFonts w:cs="Arial"/>
              </w:rPr>
            </w:pPr>
            <w:r w:rsidRPr="00B40734">
              <w:rPr>
                <w:rFonts w:cs="Arial"/>
              </w:rPr>
              <w:t>Markets Area</w:t>
            </w:r>
          </w:p>
        </w:tc>
        <w:tc>
          <w:tcPr>
            <w:tcW w:w="1883" w:type="dxa"/>
          </w:tcPr>
          <w:p w14:paraId="357687E0" w14:textId="77777777" w:rsidR="00A238EE" w:rsidRPr="00720329" w:rsidRDefault="00A238EE" w:rsidP="00A238EE">
            <w:pPr>
              <w:jc w:val="center"/>
              <w:rPr>
                <w:rFonts w:cs="Arial"/>
              </w:rPr>
            </w:pPr>
            <w:r w:rsidRPr="00720329">
              <w:rPr>
                <w:rFonts w:cs="Arial"/>
              </w:rPr>
              <w:t>10</w:t>
            </w:r>
          </w:p>
        </w:tc>
        <w:tc>
          <w:tcPr>
            <w:tcW w:w="1514" w:type="dxa"/>
          </w:tcPr>
          <w:p w14:paraId="1F47753E" w14:textId="65376F36" w:rsidR="00A238EE" w:rsidRPr="00720329" w:rsidRDefault="00A238EE" w:rsidP="00A238EE">
            <w:pPr>
              <w:jc w:val="center"/>
              <w:rPr>
                <w:rFonts w:cs="Arial"/>
              </w:rPr>
            </w:pPr>
            <w:r w:rsidRPr="00720329">
              <w:rPr>
                <w:rFonts w:cs="Arial"/>
              </w:rPr>
              <w:t>6</w:t>
            </w:r>
            <w:r w:rsidR="00CA5F7C">
              <w:rPr>
                <w:rFonts w:cs="Arial"/>
              </w:rPr>
              <w:t>,</w:t>
            </w:r>
            <w:r w:rsidRPr="00720329">
              <w:rPr>
                <w:rFonts w:cs="Arial"/>
              </w:rPr>
              <w:t>628</w:t>
            </w:r>
          </w:p>
        </w:tc>
      </w:tr>
      <w:tr w:rsidR="00A238EE" w:rsidRPr="00B40734" w14:paraId="70856423" w14:textId="77777777" w:rsidTr="00A238EE">
        <w:trPr>
          <w:jc w:val="center"/>
        </w:trPr>
        <w:tc>
          <w:tcPr>
            <w:tcW w:w="3544" w:type="dxa"/>
          </w:tcPr>
          <w:p w14:paraId="53AC987A" w14:textId="77777777" w:rsidR="00A238EE" w:rsidRPr="00B40734" w:rsidRDefault="00A238EE" w:rsidP="00A238EE">
            <w:pPr>
              <w:rPr>
                <w:rFonts w:cs="Arial"/>
              </w:rPr>
            </w:pPr>
            <w:r w:rsidRPr="00B40734">
              <w:rPr>
                <w:rFonts w:cs="Arial"/>
              </w:rPr>
              <w:t>St. James's Campus</w:t>
            </w:r>
          </w:p>
        </w:tc>
        <w:tc>
          <w:tcPr>
            <w:tcW w:w="1883" w:type="dxa"/>
          </w:tcPr>
          <w:p w14:paraId="1F62700A" w14:textId="77777777" w:rsidR="00A238EE" w:rsidRPr="00720329" w:rsidRDefault="00A238EE" w:rsidP="00A238EE">
            <w:pPr>
              <w:jc w:val="center"/>
              <w:rPr>
                <w:rFonts w:cs="Arial"/>
              </w:rPr>
            </w:pPr>
            <w:r w:rsidRPr="00720329">
              <w:rPr>
                <w:rFonts w:cs="Arial"/>
              </w:rPr>
              <w:t>-</w:t>
            </w:r>
          </w:p>
        </w:tc>
        <w:tc>
          <w:tcPr>
            <w:tcW w:w="1514" w:type="dxa"/>
          </w:tcPr>
          <w:p w14:paraId="1E7102CE" w14:textId="77777777" w:rsidR="00A238EE" w:rsidRPr="00720329" w:rsidRDefault="00A238EE" w:rsidP="00A238EE">
            <w:pPr>
              <w:jc w:val="center"/>
              <w:rPr>
                <w:rFonts w:cs="Arial"/>
              </w:rPr>
            </w:pPr>
            <w:r w:rsidRPr="00720329">
              <w:rPr>
                <w:rFonts w:cs="Arial"/>
              </w:rPr>
              <w:t>-</w:t>
            </w:r>
          </w:p>
        </w:tc>
      </w:tr>
      <w:tr w:rsidR="00A238EE" w:rsidRPr="00B40734" w14:paraId="0CA7535B" w14:textId="77777777" w:rsidTr="00A238EE">
        <w:trPr>
          <w:jc w:val="center"/>
        </w:trPr>
        <w:tc>
          <w:tcPr>
            <w:tcW w:w="3544" w:type="dxa"/>
          </w:tcPr>
          <w:p w14:paraId="485F819C" w14:textId="77777777" w:rsidR="00A238EE" w:rsidRPr="00B40734" w:rsidRDefault="00A238EE" w:rsidP="00A238EE">
            <w:pPr>
              <w:rPr>
                <w:rFonts w:cs="Arial"/>
              </w:rPr>
            </w:pPr>
            <w:r w:rsidRPr="00B40734">
              <w:rPr>
                <w:rFonts w:cs="Arial"/>
              </w:rPr>
              <w:t>Liberties and Newmarket Square</w:t>
            </w:r>
          </w:p>
        </w:tc>
        <w:tc>
          <w:tcPr>
            <w:tcW w:w="1883" w:type="dxa"/>
          </w:tcPr>
          <w:p w14:paraId="12FC10EC" w14:textId="77777777" w:rsidR="00A238EE" w:rsidRPr="00720329" w:rsidRDefault="00A238EE" w:rsidP="00A238EE">
            <w:pPr>
              <w:jc w:val="center"/>
              <w:rPr>
                <w:rFonts w:cs="Arial"/>
              </w:rPr>
            </w:pPr>
            <w:r w:rsidRPr="00720329">
              <w:rPr>
                <w:rFonts w:cs="Arial"/>
              </w:rPr>
              <w:t>26</w:t>
            </w:r>
          </w:p>
        </w:tc>
        <w:tc>
          <w:tcPr>
            <w:tcW w:w="1514" w:type="dxa"/>
          </w:tcPr>
          <w:p w14:paraId="6B21D9A4" w14:textId="77777777" w:rsidR="00A238EE" w:rsidRPr="00720329" w:rsidRDefault="00A238EE" w:rsidP="00A238EE">
            <w:pPr>
              <w:jc w:val="center"/>
              <w:rPr>
                <w:rFonts w:cs="Arial"/>
              </w:rPr>
            </w:pPr>
            <w:r w:rsidRPr="00720329">
              <w:rPr>
                <w:rFonts w:cs="Arial"/>
              </w:rPr>
              <w:t>21,341</w:t>
            </w:r>
          </w:p>
        </w:tc>
      </w:tr>
      <w:tr w:rsidR="00A238EE" w:rsidRPr="00B40734" w14:paraId="28C506A7" w14:textId="77777777" w:rsidTr="00A238EE">
        <w:trPr>
          <w:jc w:val="center"/>
        </w:trPr>
        <w:tc>
          <w:tcPr>
            <w:tcW w:w="3544" w:type="dxa"/>
          </w:tcPr>
          <w:p w14:paraId="0A357765" w14:textId="77777777" w:rsidR="00A238EE" w:rsidRPr="00B40734" w:rsidRDefault="00A238EE" w:rsidP="00A238EE">
            <w:pPr>
              <w:rPr>
                <w:rFonts w:cs="Arial"/>
              </w:rPr>
            </w:pPr>
            <w:r w:rsidRPr="00B40734">
              <w:rPr>
                <w:rFonts w:cs="Arial"/>
              </w:rPr>
              <w:t>Oscar Traynor Road</w:t>
            </w:r>
          </w:p>
        </w:tc>
        <w:tc>
          <w:tcPr>
            <w:tcW w:w="1883" w:type="dxa"/>
          </w:tcPr>
          <w:p w14:paraId="40320D0C" w14:textId="77777777" w:rsidR="00A238EE" w:rsidRPr="00720329" w:rsidRDefault="00A238EE" w:rsidP="00A238EE">
            <w:pPr>
              <w:jc w:val="center"/>
              <w:rPr>
                <w:rFonts w:cs="Arial"/>
              </w:rPr>
            </w:pPr>
            <w:r w:rsidRPr="00720329">
              <w:rPr>
                <w:rFonts w:cs="Arial"/>
              </w:rPr>
              <w:t>-</w:t>
            </w:r>
          </w:p>
        </w:tc>
        <w:tc>
          <w:tcPr>
            <w:tcW w:w="1514" w:type="dxa"/>
          </w:tcPr>
          <w:p w14:paraId="5B2B5768" w14:textId="77777777" w:rsidR="00A238EE" w:rsidRPr="00720329" w:rsidRDefault="00A238EE" w:rsidP="00A238EE">
            <w:pPr>
              <w:jc w:val="center"/>
              <w:rPr>
                <w:rFonts w:cs="Arial"/>
              </w:rPr>
            </w:pPr>
            <w:r w:rsidRPr="00720329">
              <w:rPr>
                <w:rFonts w:cs="Arial"/>
              </w:rPr>
              <w:t>-</w:t>
            </w:r>
          </w:p>
        </w:tc>
      </w:tr>
      <w:tr w:rsidR="00A238EE" w:rsidRPr="00B40734" w14:paraId="5C8B5CF3" w14:textId="77777777" w:rsidTr="00A238EE">
        <w:trPr>
          <w:jc w:val="center"/>
        </w:trPr>
        <w:tc>
          <w:tcPr>
            <w:tcW w:w="3544" w:type="dxa"/>
          </w:tcPr>
          <w:p w14:paraId="299CEE4A" w14:textId="77777777" w:rsidR="00A238EE" w:rsidRPr="00B40734" w:rsidRDefault="00A238EE" w:rsidP="00A238EE">
            <w:pPr>
              <w:rPr>
                <w:rFonts w:cs="Arial"/>
              </w:rPr>
            </w:pPr>
            <w:r w:rsidRPr="00B40734">
              <w:rPr>
                <w:rFonts w:cs="Arial"/>
              </w:rPr>
              <w:t>Werburgh Street</w:t>
            </w:r>
          </w:p>
        </w:tc>
        <w:tc>
          <w:tcPr>
            <w:tcW w:w="1883" w:type="dxa"/>
          </w:tcPr>
          <w:p w14:paraId="046E5A83" w14:textId="77777777" w:rsidR="00A238EE" w:rsidRPr="00720329" w:rsidRDefault="00A238EE" w:rsidP="00A238EE">
            <w:pPr>
              <w:jc w:val="center"/>
              <w:rPr>
                <w:rFonts w:cs="Arial"/>
              </w:rPr>
            </w:pPr>
            <w:r w:rsidRPr="00720329">
              <w:rPr>
                <w:rFonts w:cs="Arial"/>
              </w:rPr>
              <w:t>-</w:t>
            </w:r>
          </w:p>
        </w:tc>
        <w:tc>
          <w:tcPr>
            <w:tcW w:w="1514" w:type="dxa"/>
          </w:tcPr>
          <w:p w14:paraId="18930DF6" w14:textId="77777777" w:rsidR="00A238EE" w:rsidRPr="00720329" w:rsidRDefault="00A238EE" w:rsidP="00A238EE">
            <w:pPr>
              <w:jc w:val="center"/>
              <w:rPr>
                <w:rFonts w:cs="Arial"/>
              </w:rPr>
            </w:pPr>
            <w:r w:rsidRPr="00720329">
              <w:rPr>
                <w:rFonts w:cs="Arial"/>
              </w:rPr>
              <w:t>-</w:t>
            </w:r>
          </w:p>
        </w:tc>
      </w:tr>
      <w:tr w:rsidR="00A238EE" w:rsidRPr="00B40734" w14:paraId="39F80736" w14:textId="77777777" w:rsidTr="00A238EE">
        <w:trPr>
          <w:trHeight w:val="421"/>
          <w:jc w:val="center"/>
        </w:trPr>
        <w:tc>
          <w:tcPr>
            <w:tcW w:w="3544" w:type="dxa"/>
          </w:tcPr>
          <w:p w14:paraId="6979B429" w14:textId="77777777" w:rsidR="00A238EE" w:rsidRPr="00B40734" w:rsidRDefault="00A238EE" w:rsidP="00A238EE">
            <w:pPr>
              <w:rPr>
                <w:rFonts w:cs="Arial"/>
                <w:b/>
              </w:rPr>
            </w:pPr>
            <w:r w:rsidRPr="00B40734">
              <w:rPr>
                <w:rFonts w:cs="Arial"/>
                <w:b/>
              </w:rPr>
              <w:t>Total</w:t>
            </w:r>
          </w:p>
        </w:tc>
        <w:tc>
          <w:tcPr>
            <w:tcW w:w="1883" w:type="dxa"/>
          </w:tcPr>
          <w:p w14:paraId="7D017995" w14:textId="77777777" w:rsidR="00A238EE" w:rsidRPr="00720329" w:rsidRDefault="00A238EE" w:rsidP="00A238EE">
            <w:pPr>
              <w:jc w:val="center"/>
              <w:rPr>
                <w:rFonts w:cs="Arial"/>
                <w:b/>
              </w:rPr>
            </w:pPr>
            <w:r w:rsidRPr="00720329">
              <w:rPr>
                <w:rFonts w:cs="Arial"/>
                <w:b/>
              </w:rPr>
              <w:t>145</w:t>
            </w:r>
          </w:p>
        </w:tc>
        <w:tc>
          <w:tcPr>
            <w:tcW w:w="1514" w:type="dxa"/>
          </w:tcPr>
          <w:p w14:paraId="3CA25086" w14:textId="77777777" w:rsidR="00A238EE" w:rsidRPr="00720329" w:rsidRDefault="00A238EE" w:rsidP="00A238EE">
            <w:pPr>
              <w:jc w:val="center"/>
              <w:rPr>
                <w:rFonts w:cs="Arial"/>
                <w:b/>
              </w:rPr>
            </w:pPr>
            <w:r w:rsidRPr="00720329">
              <w:rPr>
                <w:rFonts w:cs="Arial"/>
                <w:b/>
              </w:rPr>
              <w:t>130,203</w:t>
            </w:r>
          </w:p>
        </w:tc>
      </w:tr>
    </w:tbl>
    <w:p w14:paraId="11B2E51F" w14:textId="77777777" w:rsidR="004700E7" w:rsidRDefault="004700E7" w:rsidP="00A238EE">
      <w:pPr>
        <w:keepNext/>
        <w:spacing w:after="200" w:line="276" w:lineRule="auto"/>
        <w:contextualSpacing/>
        <w:jc w:val="center"/>
        <w:rPr>
          <w:rFonts w:eastAsia="Calibri" w:cstheme="minorHAnsi"/>
          <w:b/>
          <w:bCs/>
          <w:szCs w:val="16"/>
        </w:rPr>
      </w:pPr>
      <w:bookmarkStart w:id="33" w:name="_Ref178785149"/>
      <w:bookmarkStart w:id="34" w:name="_Toc178675191"/>
      <w:bookmarkStart w:id="35" w:name="_Toc178675406"/>
      <w:bookmarkStart w:id="36" w:name="_Toc178675513"/>
      <w:bookmarkStart w:id="37" w:name="_Toc180059285"/>
    </w:p>
    <w:p w14:paraId="58463B3C" w14:textId="77777777" w:rsidR="004700E7" w:rsidRDefault="004700E7" w:rsidP="00A238EE">
      <w:pPr>
        <w:keepNext/>
        <w:spacing w:after="200" w:line="276" w:lineRule="auto"/>
        <w:contextualSpacing/>
        <w:jc w:val="center"/>
        <w:rPr>
          <w:rFonts w:eastAsia="Calibri" w:cstheme="minorHAnsi"/>
          <w:b/>
          <w:bCs/>
          <w:szCs w:val="16"/>
        </w:rPr>
      </w:pPr>
    </w:p>
    <w:p w14:paraId="3C1F9231" w14:textId="77777777" w:rsidR="00CE5280" w:rsidRDefault="00CE5280" w:rsidP="00A238EE">
      <w:pPr>
        <w:keepNext/>
        <w:spacing w:after="200" w:line="276" w:lineRule="auto"/>
        <w:contextualSpacing/>
        <w:jc w:val="center"/>
        <w:rPr>
          <w:rFonts w:eastAsia="Calibri" w:cstheme="minorHAnsi"/>
          <w:b/>
          <w:bCs/>
          <w:szCs w:val="16"/>
        </w:rPr>
      </w:pPr>
    </w:p>
    <w:p w14:paraId="0B80DC16" w14:textId="77777777" w:rsidR="007D736A" w:rsidRDefault="007D736A" w:rsidP="00863765">
      <w:pPr>
        <w:keepNext/>
        <w:spacing w:after="200" w:line="276" w:lineRule="auto"/>
        <w:contextualSpacing/>
        <w:rPr>
          <w:rFonts w:eastAsia="Calibri" w:cstheme="minorHAnsi"/>
          <w:b/>
          <w:bCs/>
          <w:szCs w:val="16"/>
        </w:rPr>
      </w:pPr>
    </w:p>
    <w:bookmarkEnd w:id="33"/>
    <w:bookmarkEnd w:id="34"/>
    <w:bookmarkEnd w:id="35"/>
    <w:bookmarkEnd w:id="36"/>
    <w:bookmarkEnd w:id="37"/>
    <w:p w14:paraId="71E7C7B8" w14:textId="77777777" w:rsidR="00016BA8" w:rsidRDefault="00016BA8" w:rsidP="00016BA8">
      <w:pPr>
        <w:pStyle w:val="ListParagraph"/>
        <w:spacing w:line="240" w:lineRule="auto"/>
        <w:rPr>
          <w:rFonts w:cs="Arial"/>
          <w:i/>
        </w:rPr>
      </w:pPr>
    </w:p>
    <w:p w14:paraId="011D4B39" w14:textId="77777777" w:rsidR="00016BA8" w:rsidRDefault="00016BA8" w:rsidP="00016BA8">
      <w:pPr>
        <w:pStyle w:val="ListParagraph"/>
        <w:spacing w:line="240" w:lineRule="auto"/>
        <w:rPr>
          <w:rFonts w:cs="Arial"/>
          <w:i/>
        </w:rPr>
      </w:pPr>
    </w:p>
    <w:p w14:paraId="03B95939" w14:textId="7111F1AC" w:rsidR="00A238EE" w:rsidRPr="007D736A" w:rsidRDefault="00A238EE" w:rsidP="00016BA8">
      <w:pPr>
        <w:pStyle w:val="ListParagraph"/>
        <w:numPr>
          <w:ilvl w:val="0"/>
          <w:numId w:val="16"/>
        </w:numPr>
        <w:spacing w:line="240" w:lineRule="auto"/>
        <w:rPr>
          <w:rFonts w:cs="Arial"/>
          <w:i/>
        </w:rPr>
      </w:pPr>
      <w:r w:rsidRPr="007D736A">
        <w:rPr>
          <w:rFonts w:cs="Arial"/>
          <w:i/>
        </w:rPr>
        <w:t>No. of residential units constructed</w:t>
      </w:r>
    </w:p>
    <w:p w14:paraId="78A09A13" w14:textId="77777777" w:rsidR="00A238EE" w:rsidRPr="00B40734" w:rsidRDefault="00A238EE" w:rsidP="00A238EE">
      <w:pPr>
        <w:spacing w:line="240" w:lineRule="auto"/>
        <w:ind w:left="720"/>
        <w:contextualSpacing/>
        <w:rPr>
          <w:rFonts w:cs="Arial"/>
          <w:i/>
        </w:rPr>
      </w:pPr>
    </w:p>
    <w:p w14:paraId="210CA047" w14:textId="4982C256" w:rsidR="00D746EB" w:rsidRDefault="00D746EB" w:rsidP="00D746EB">
      <w:pPr>
        <w:spacing w:line="240" w:lineRule="auto"/>
      </w:pPr>
      <w:r>
        <w:rPr>
          <w:rFonts w:cs="Arial"/>
        </w:rPr>
        <w:t>A</w:t>
      </w:r>
      <w:r w:rsidRPr="005A4BC4">
        <w:rPr>
          <w:rFonts w:cs="Arial"/>
        </w:rPr>
        <w:t>nalysis of Planning Department</w:t>
      </w:r>
      <w:r w:rsidR="00295BA3">
        <w:rPr>
          <w:rFonts w:cs="Arial"/>
        </w:rPr>
        <w:t xml:space="preserve"> </w:t>
      </w:r>
      <w:r w:rsidRPr="005A4BC4">
        <w:rPr>
          <w:rFonts w:cs="Arial"/>
        </w:rPr>
        <w:t xml:space="preserve">monitoring data estimates that approximately </w:t>
      </w:r>
      <w:r>
        <w:t>1</w:t>
      </w:r>
      <w:r w:rsidR="00F9482F">
        <w:t>,</w:t>
      </w:r>
      <w:r>
        <w:t xml:space="preserve">306 no. residential units were constructed </w:t>
      </w:r>
      <w:r w:rsidRPr="00B40734">
        <w:t xml:space="preserve">in </w:t>
      </w:r>
      <w:r>
        <w:t xml:space="preserve">the SDRAs in </w:t>
      </w:r>
      <w:r w:rsidRPr="00B40734">
        <w:t>2024.</w:t>
      </w:r>
    </w:p>
    <w:p w14:paraId="6505C273" w14:textId="77777777" w:rsidR="00A238EE" w:rsidRPr="00B40734" w:rsidRDefault="00A238EE" w:rsidP="00A238EE">
      <w:pPr>
        <w:spacing w:line="240" w:lineRule="auto"/>
        <w:rPr>
          <w:rFonts w:cs="Arial"/>
        </w:rPr>
      </w:pPr>
    </w:p>
    <w:p w14:paraId="29019157" w14:textId="77777777" w:rsidR="00A238EE" w:rsidRDefault="00A238EE" w:rsidP="00016BA8">
      <w:pPr>
        <w:numPr>
          <w:ilvl w:val="0"/>
          <w:numId w:val="16"/>
        </w:numPr>
        <w:spacing w:line="240" w:lineRule="auto"/>
        <w:contextualSpacing/>
        <w:rPr>
          <w:rFonts w:cs="Arial"/>
          <w:i/>
        </w:rPr>
      </w:pPr>
      <w:r w:rsidRPr="00B40734">
        <w:rPr>
          <w:rFonts w:cs="Arial"/>
          <w:i/>
        </w:rPr>
        <w:t>Office/retail/commercial development constructed (sq. m).</w:t>
      </w:r>
    </w:p>
    <w:p w14:paraId="56A41A57" w14:textId="3FC20ABE" w:rsidR="00A238EE" w:rsidRDefault="00A238EE" w:rsidP="00A238EE">
      <w:pPr>
        <w:spacing w:line="240" w:lineRule="auto"/>
        <w:rPr>
          <w:color w:val="538135" w:themeColor="accent6" w:themeShade="BF"/>
        </w:rPr>
      </w:pPr>
    </w:p>
    <w:p w14:paraId="57CCF05E" w14:textId="40543631" w:rsidR="006A2BA6" w:rsidRPr="003169EA" w:rsidRDefault="006A2BA6" w:rsidP="006A2BA6">
      <w:pPr>
        <w:spacing w:line="240" w:lineRule="auto"/>
        <w:rPr>
          <w:color w:val="000000" w:themeColor="text1"/>
        </w:rPr>
      </w:pPr>
      <w:r w:rsidRPr="003169EA">
        <w:rPr>
          <w:color w:val="000000" w:themeColor="text1"/>
        </w:rPr>
        <w:t>These figures are not readily available for SDRAs</w:t>
      </w:r>
      <w:r>
        <w:rPr>
          <w:color w:val="000000" w:themeColor="text1"/>
        </w:rPr>
        <w:t>. However, Table</w:t>
      </w:r>
      <w:r w:rsidR="00D746EB">
        <w:rPr>
          <w:color w:val="000000" w:themeColor="text1"/>
        </w:rPr>
        <w:t>s</w:t>
      </w:r>
      <w:r>
        <w:rPr>
          <w:color w:val="000000" w:themeColor="text1"/>
        </w:rPr>
        <w:t xml:space="preserve"> </w:t>
      </w:r>
      <w:r w:rsidR="00C51238">
        <w:rPr>
          <w:color w:val="000000" w:themeColor="text1"/>
        </w:rPr>
        <w:t>5</w:t>
      </w:r>
      <w:r w:rsidR="00267416">
        <w:rPr>
          <w:color w:val="000000" w:themeColor="text1"/>
        </w:rPr>
        <w:t>, 6</w:t>
      </w:r>
      <w:r w:rsidR="00C51238">
        <w:rPr>
          <w:color w:val="000000" w:themeColor="text1"/>
        </w:rPr>
        <w:t xml:space="preserve"> </w:t>
      </w:r>
      <w:r w:rsidR="00D746EB">
        <w:rPr>
          <w:color w:val="000000" w:themeColor="text1"/>
        </w:rPr>
        <w:t xml:space="preserve">and </w:t>
      </w:r>
      <w:r w:rsidR="00267416">
        <w:rPr>
          <w:color w:val="000000" w:themeColor="text1"/>
        </w:rPr>
        <w:t>7</w:t>
      </w:r>
      <w:r>
        <w:rPr>
          <w:color w:val="000000" w:themeColor="text1"/>
        </w:rPr>
        <w:t xml:space="preserve"> above</w:t>
      </w:r>
      <w:r w:rsidR="00D746EB">
        <w:rPr>
          <w:color w:val="000000" w:themeColor="text1"/>
        </w:rPr>
        <w:t xml:space="preserve"> provide both floor area figures and numbers of applications for office development, retail and commercial</w:t>
      </w:r>
      <w:r w:rsidR="00746FF8">
        <w:rPr>
          <w:color w:val="000000" w:themeColor="text1"/>
        </w:rPr>
        <w:t xml:space="preserve"> developments granted permission</w:t>
      </w:r>
      <w:r w:rsidR="00D746EB">
        <w:rPr>
          <w:color w:val="000000" w:themeColor="text1"/>
        </w:rPr>
        <w:t xml:space="preserve"> in </w:t>
      </w:r>
      <w:r w:rsidR="00746FF8">
        <w:rPr>
          <w:color w:val="000000" w:themeColor="text1"/>
        </w:rPr>
        <w:t>each of the</w:t>
      </w:r>
      <w:r w:rsidR="00D746EB">
        <w:rPr>
          <w:color w:val="000000" w:themeColor="text1"/>
        </w:rPr>
        <w:t xml:space="preserve"> SDRAs.</w:t>
      </w:r>
    </w:p>
    <w:p w14:paraId="640CBD74" w14:textId="77777777" w:rsidR="006A2BA6" w:rsidRPr="005C030C" w:rsidRDefault="006A2BA6" w:rsidP="00A238EE">
      <w:pPr>
        <w:spacing w:line="240" w:lineRule="auto"/>
        <w:rPr>
          <w:color w:val="538135" w:themeColor="accent6" w:themeShade="BF"/>
        </w:rPr>
      </w:pPr>
    </w:p>
    <w:p w14:paraId="70936EC5" w14:textId="77777777" w:rsidR="00A238EE" w:rsidRPr="00B40734" w:rsidRDefault="00A238EE" w:rsidP="00A238EE">
      <w:pPr>
        <w:spacing w:line="240" w:lineRule="auto"/>
        <w:rPr>
          <w:rFonts w:cs="Arial"/>
        </w:rPr>
      </w:pPr>
    </w:p>
    <w:p w14:paraId="630D5C5F" w14:textId="77777777" w:rsidR="00A238EE" w:rsidRDefault="00A238EE" w:rsidP="00016BA8">
      <w:pPr>
        <w:pStyle w:val="ListParagraph"/>
        <w:numPr>
          <w:ilvl w:val="0"/>
          <w:numId w:val="16"/>
        </w:numPr>
        <w:spacing w:line="240" w:lineRule="auto"/>
        <w:rPr>
          <w:rFonts w:cs="Arial"/>
          <w:i/>
        </w:rPr>
      </w:pPr>
      <w:r w:rsidRPr="00B40734">
        <w:rPr>
          <w:rFonts w:cs="Arial"/>
          <w:i/>
        </w:rPr>
        <w:t>Enabling Infrastructure Delivery</w:t>
      </w:r>
    </w:p>
    <w:p w14:paraId="129D9C6E" w14:textId="77777777" w:rsidR="00A238EE" w:rsidRPr="00B40734" w:rsidRDefault="00A238EE" w:rsidP="00A238EE">
      <w:pPr>
        <w:pStyle w:val="ListParagraph"/>
        <w:spacing w:line="240" w:lineRule="auto"/>
        <w:rPr>
          <w:rFonts w:cs="Arial"/>
          <w:i/>
        </w:rPr>
      </w:pPr>
    </w:p>
    <w:p w14:paraId="4386DB5D" w14:textId="4054E6A8" w:rsidR="00A238EE" w:rsidRDefault="001F0857" w:rsidP="00A238EE">
      <w:pPr>
        <w:spacing w:line="240" w:lineRule="auto"/>
      </w:pPr>
      <w:r>
        <w:t>The main elements of</w:t>
      </w:r>
      <w:r w:rsidR="00A238EE" w:rsidRPr="00B40734">
        <w:t xml:space="preserve"> infrastructure delivery</w:t>
      </w:r>
      <w:r>
        <w:t xml:space="preserve"> </w:t>
      </w:r>
      <w:r w:rsidR="00B131BD">
        <w:t xml:space="preserve">provided </w:t>
      </w:r>
      <w:r>
        <w:t xml:space="preserve">within the </w:t>
      </w:r>
      <w:r w:rsidRPr="00B40734">
        <w:t>SDRA</w:t>
      </w:r>
      <w:r>
        <w:t>s</w:t>
      </w:r>
      <w:r w:rsidRPr="00B40734">
        <w:t xml:space="preserve"> includes</w:t>
      </w:r>
      <w:r>
        <w:t>:</w:t>
      </w:r>
      <w:r w:rsidR="00A238EE" w:rsidRPr="00B40734">
        <w:t xml:space="preserve"> </w:t>
      </w:r>
    </w:p>
    <w:p w14:paraId="65021DEB" w14:textId="07D4F4BD" w:rsidR="00A238EE" w:rsidRPr="001F0857" w:rsidRDefault="00A238EE" w:rsidP="00A238EE">
      <w:pPr>
        <w:spacing w:line="240" w:lineRule="auto"/>
        <w:rPr>
          <w:rFonts w:cs="Arial"/>
        </w:rPr>
      </w:pPr>
      <w:r w:rsidRPr="001F0857">
        <w:rPr>
          <w:rFonts w:cs="Arial"/>
        </w:rPr>
        <w:t>SDRA 2</w:t>
      </w:r>
      <w:r w:rsidR="00471C5F">
        <w:rPr>
          <w:rFonts w:cs="Arial"/>
        </w:rPr>
        <w:t>;</w:t>
      </w:r>
      <w:r w:rsidRPr="001F0857">
        <w:rPr>
          <w:rFonts w:cs="Arial"/>
        </w:rPr>
        <w:t xml:space="preserve"> The realignment of </w:t>
      </w:r>
      <w:proofErr w:type="spellStart"/>
      <w:r w:rsidRPr="001F0857">
        <w:rPr>
          <w:rFonts w:cs="Arial"/>
        </w:rPr>
        <w:t>Sillogue</w:t>
      </w:r>
      <w:proofErr w:type="spellEnd"/>
      <w:r w:rsidRPr="001F0857">
        <w:rPr>
          <w:rFonts w:cs="Arial"/>
        </w:rPr>
        <w:t xml:space="preserve"> Avenue and upgrades to the drainage and open space at </w:t>
      </w:r>
      <w:proofErr w:type="spellStart"/>
      <w:r w:rsidRPr="001F0857">
        <w:rPr>
          <w:rFonts w:cs="Arial"/>
        </w:rPr>
        <w:t>Sillogue</w:t>
      </w:r>
      <w:proofErr w:type="spellEnd"/>
      <w:r w:rsidRPr="001F0857">
        <w:rPr>
          <w:rFonts w:cs="Arial"/>
        </w:rPr>
        <w:t xml:space="preserve"> Gardens w</w:t>
      </w:r>
      <w:r w:rsidR="009A1276">
        <w:rPr>
          <w:rFonts w:cs="Arial"/>
        </w:rPr>
        <w:t>ere</w:t>
      </w:r>
      <w:r w:rsidRPr="001F0857">
        <w:rPr>
          <w:rFonts w:cs="Arial"/>
        </w:rPr>
        <w:t xml:space="preserve"> </w:t>
      </w:r>
      <w:r w:rsidR="00471C5F" w:rsidRPr="001F0857">
        <w:rPr>
          <w:rFonts w:cs="Arial"/>
        </w:rPr>
        <w:t>completed.</w:t>
      </w:r>
      <w:r w:rsidRPr="001F0857">
        <w:rPr>
          <w:rFonts w:cs="Arial"/>
        </w:rPr>
        <w:t xml:space="preserve"> </w:t>
      </w:r>
    </w:p>
    <w:p w14:paraId="2316ADC5" w14:textId="7B4CE7C9" w:rsidR="00A238EE" w:rsidRPr="001F0857" w:rsidRDefault="00A238EE" w:rsidP="00A238EE">
      <w:pPr>
        <w:spacing w:line="240" w:lineRule="auto"/>
        <w:rPr>
          <w:rFonts w:cs="Arial"/>
        </w:rPr>
      </w:pPr>
      <w:r w:rsidRPr="001F0857">
        <w:rPr>
          <w:rFonts w:cs="Arial"/>
        </w:rPr>
        <w:t>SDRA 4</w:t>
      </w:r>
      <w:r w:rsidR="00471C5F">
        <w:rPr>
          <w:rFonts w:cs="Arial"/>
        </w:rPr>
        <w:t>;</w:t>
      </w:r>
      <w:r w:rsidRPr="001F0857">
        <w:rPr>
          <w:rFonts w:cs="Arial"/>
        </w:rPr>
        <w:t xml:space="preserve"> ESB mains cabling </w:t>
      </w:r>
      <w:r w:rsidR="00471C5F">
        <w:rPr>
          <w:rFonts w:cs="Arial"/>
        </w:rPr>
        <w:t xml:space="preserve">installed </w:t>
      </w:r>
      <w:r w:rsidRPr="001F0857">
        <w:rPr>
          <w:rFonts w:cs="Arial"/>
        </w:rPr>
        <w:t xml:space="preserve">along Grand </w:t>
      </w:r>
      <w:r w:rsidR="00471C5F" w:rsidRPr="001F0857">
        <w:rPr>
          <w:rFonts w:cs="Arial"/>
        </w:rPr>
        <w:t>Canal.</w:t>
      </w:r>
    </w:p>
    <w:p w14:paraId="448B42D8" w14:textId="50651511" w:rsidR="00A238EE" w:rsidRPr="001F0857" w:rsidRDefault="00A238EE" w:rsidP="00A238EE">
      <w:pPr>
        <w:spacing w:line="240" w:lineRule="auto"/>
        <w:rPr>
          <w:rFonts w:cs="Arial"/>
        </w:rPr>
      </w:pPr>
      <w:r w:rsidRPr="001F0857">
        <w:rPr>
          <w:rFonts w:cs="Arial"/>
        </w:rPr>
        <w:t>SDRA 10</w:t>
      </w:r>
      <w:r w:rsidR="00471C5F">
        <w:rPr>
          <w:rFonts w:cs="Arial"/>
        </w:rPr>
        <w:t>;</w:t>
      </w:r>
      <w:r w:rsidRPr="001F0857">
        <w:rPr>
          <w:rFonts w:cs="Arial"/>
        </w:rPr>
        <w:t xml:space="preserve"> As part of the C2CC (Clontarf to City Centre) project</w:t>
      </w:r>
      <w:r w:rsidR="00471C5F">
        <w:rPr>
          <w:rFonts w:cs="Arial"/>
        </w:rPr>
        <w:t>,</w:t>
      </w:r>
      <w:r w:rsidRPr="001F0857">
        <w:rPr>
          <w:rFonts w:cs="Arial"/>
        </w:rPr>
        <w:t xml:space="preserve"> 6.5km of old water mains were replaced.</w:t>
      </w:r>
    </w:p>
    <w:p w14:paraId="76BE6633" w14:textId="06BBEA87" w:rsidR="00A238EE" w:rsidRDefault="00A238EE" w:rsidP="00A238EE">
      <w:pPr>
        <w:spacing w:line="240" w:lineRule="auto"/>
        <w:rPr>
          <w:rFonts w:cs="Arial"/>
        </w:rPr>
      </w:pPr>
      <w:r w:rsidRPr="001F0857">
        <w:rPr>
          <w:rFonts w:cs="Arial"/>
        </w:rPr>
        <w:t>SDRA 14</w:t>
      </w:r>
      <w:r w:rsidR="00471C5F">
        <w:rPr>
          <w:rFonts w:cs="Arial"/>
        </w:rPr>
        <w:t>;</w:t>
      </w:r>
      <w:r w:rsidRPr="001F0857">
        <w:rPr>
          <w:rFonts w:cs="Arial"/>
        </w:rPr>
        <w:t xml:space="preserve"> </w:t>
      </w:r>
      <w:r w:rsidR="00EE023D">
        <w:rPr>
          <w:rFonts w:cs="Arial"/>
        </w:rPr>
        <w:t>T</w:t>
      </w:r>
      <w:r w:rsidRPr="001F0857">
        <w:rPr>
          <w:rFonts w:cs="Arial"/>
        </w:rPr>
        <w:t xml:space="preserve">he introduction of </w:t>
      </w:r>
      <w:r w:rsidR="00471C5F">
        <w:rPr>
          <w:rFonts w:cs="Arial"/>
        </w:rPr>
        <w:t xml:space="preserve">the </w:t>
      </w:r>
      <w:r w:rsidRPr="001F0857">
        <w:rPr>
          <w:rFonts w:cs="Arial"/>
        </w:rPr>
        <w:t>G-Spine</w:t>
      </w:r>
      <w:r w:rsidR="00471C5F">
        <w:rPr>
          <w:rFonts w:cs="Arial"/>
        </w:rPr>
        <w:t xml:space="preserve"> route</w:t>
      </w:r>
      <w:r w:rsidRPr="001F0857">
        <w:rPr>
          <w:rFonts w:cs="Arial"/>
        </w:rPr>
        <w:t xml:space="preserve"> provides a 24/7 bus service along the Northern boundary of the SDRA; new road layouts have been introduced; new Children’s hospital elevated helipad is completed.</w:t>
      </w:r>
    </w:p>
    <w:p w14:paraId="09089315" w14:textId="46CBB3C6" w:rsidR="00EE023D" w:rsidRDefault="004A58B2" w:rsidP="00A238EE">
      <w:pPr>
        <w:spacing w:line="240" w:lineRule="auto"/>
        <w:rPr>
          <w:rFonts w:cs="Arial"/>
        </w:rPr>
      </w:pPr>
      <w:r>
        <w:rPr>
          <w:rFonts w:cs="Arial"/>
        </w:rPr>
        <w:t>(</w:t>
      </w:r>
      <w:r w:rsidR="00EE023D">
        <w:rPr>
          <w:rFonts w:cs="Arial"/>
        </w:rPr>
        <w:t xml:space="preserve">Source: DCC </w:t>
      </w:r>
      <w:r w:rsidR="00EE023D" w:rsidRPr="005A4BC4">
        <w:rPr>
          <w:rFonts w:cs="Arial"/>
        </w:rPr>
        <w:t>Planning Department</w:t>
      </w:r>
      <w:r w:rsidR="00EE023D">
        <w:rPr>
          <w:rFonts w:cs="Arial"/>
        </w:rPr>
        <w:t>,</w:t>
      </w:r>
      <w:r w:rsidR="00EE023D" w:rsidRPr="005A4BC4">
        <w:rPr>
          <w:rFonts w:cs="Arial"/>
        </w:rPr>
        <w:t xml:space="preserve"> SDRA monitoring data</w:t>
      </w:r>
      <w:r w:rsidR="00EE023D">
        <w:rPr>
          <w:rFonts w:cs="Arial"/>
        </w:rPr>
        <w:t>.</w:t>
      </w:r>
      <w:r>
        <w:rPr>
          <w:rFonts w:cs="Arial"/>
        </w:rPr>
        <w:t>)</w:t>
      </w:r>
    </w:p>
    <w:p w14:paraId="2D57FC3D" w14:textId="77777777" w:rsidR="00016BA8" w:rsidRDefault="00016BA8" w:rsidP="00863765">
      <w:pPr>
        <w:pStyle w:val="Heading3"/>
        <w:numPr>
          <w:ilvl w:val="0"/>
          <w:numId w:val="0"/>
        </w:numPr>
        <w:rPr>
          <w:rFonts w:eastAsia="Times"/>
          <w:lang w:val="en-GB" w:eastAsia="en-IE"/>
        </w:rPr>
      </w:pPr>
    </w:p>
    <w:p w14:paraId="2B9C9148" w14:textId="77777777" w:rsidR="00016BA8" w:rsidRDefault="00016BA8" w:rsidP="00016BA8">
      <w:pPr>
        <w:rPr>
          <w:lang w:val="en-GB" w:eastAsia="en-IE"/>
        </w:rPr>
      </w:pPr>
    </w:p>
    <w:p w14:paraId="75F0DB18" w14:textId="77777777" w:rsidR="00016BA8" w:rsidRPr="00016BA8" w:rsidRDefault="00016BA8" w:rsidP="00016BA8">
      <w:pPr>
        <w:rPr>
          <w:lang w:val="en-GB" w:eastAsia="en-IE"/>
        </w:rPr>
      </w:pPr>
    </w:p>
    <w:p w14:paraId="3EA5E73F" w14:textId="77777777" w:rsidR="00016BA8" w:rsidRDefault="00016BA8" w:rsidP="00863765">
      <w:pPr>
        <w:pStyle w:val="Heading3"/>
        <w:numPr>
          <w:ilvl w:val="0"/>
          <w:numId w:val="0"/>
        </w:numPr>
        <w:rPr>
          <w:rFonts w:eastAsia="Times"/>
          <w:lang w:val="en-GB" w:eastAsia="en-IE"/>
        </w:rPr>
      </w:pPr>
    </w:p>
    <w:p w14:paraId="7888EB22" w14:textId="77777777" w:rsidR="00B84DE8" w:rsidRPr="00B84DE8" w:rsidRDefault="00B84DE8" w:rsidP="00B84DE8">
      <w:pPr>
        <w:rPr>
          <w:lang w:val="en-GB" w:eastAsia="en-IE"/>
        </w:rPr>
      </w:pPr>
    </w:p>
    <w:p w14:paraId="7A488429" w14:textId="1A68B9A0" w:rsidR="00863765" w:rsidRPr="00B40734" w:rsidRDefault="00863765" w:rsidP="00863765">
      <w:pPr>
        <w:pStyle w:val="Heading3"/>
        <w:numPr>
          <w:ilvl w:val="0"/>
          <w:numId w:val="0"/>
        </w:numPr>
        <w:rPr>
          <w:rFonts w:eastAsia="Times"/>
          <w:lang w:val="en-GB" w:eastAsia="en-IE"/>
        </w:rPr>
      </w:pPr>
      <w:r w:rsidRPr="00B40734">
        <w:rPr>
          <w:rFonts w:eastAsia="Times"/>
          <w:lang w:val="en-GB" w:eastAsia="en-IE"/>
        </w:rPr>
        <w:lastRenderedPageBreak/>
        <w:t>Indicator 4: Commercial / Employment Related</w:t>
      </w:r>
    </w:p>
    <w:p w14:paraId="4B032589" w14:textId="77777777" w:rsidR="00863765" w:rsidRPr="00B40734" w:rsidRDefault="00863765" w:rsidP="00863765">
      <w:pPr>
        <w:rPr>
          <w:lang w:val="en-GB" w:eastAsia="en-IE"/>
        </w:rPr>
      </w:pPr>
    </w:p>
    <w:p w14:paraId="52C3D05C" w14:textId="77777777" w:rsidR="00863765" w:rsidRPr="00B40734" w:rsidRDefault="00863765" w:rsidP="00863765">
      <w:pPr>
        <w:numPr>
          <w:ilvl w:val="0"/>
          <w:numId w:val="8"/>
        </w:numPr>
        <w:spacing w:after="160"/>
      </w:pPr>
      <w:r w:rsidRPr="00B40734">
        <w:t>Office floorspace quantum</w:t>
      </w:r>
    </w:p>
    <w:p w14:paraId="3D1D4039" w14:textId="77777777" w:rsidR="00863765" w:rsidRPr="00B40734" w:rsidRDefault="00863765" w:rsidP="00863765">
      <w:pPr>
        <w:rPr>
          <w:rFonts w:cs="Arial"/>
        </w:rPr>
      </w:pPr>
      <w:r w:rsidRPr="00B40734">
        <w:rPr>
          <w:rFonts w:cs="Arial"/>
        </w:rPr>
        <w:t xml:space="preserve">There is no figure available for the city. However, in 2024 total </w:t>
      </w:r>
      <w:r>
        <w:rPr>
          <w:rFonts w:cs="Arial"/>
        </w:rPr>
        <w:t>o</w:t>
      </w:r>
      <w:r w:rsidRPr="00B40734">
        <w:rPr>
          <w:rFonts w:cs="Arial"/>
        </w:rPr>
        <w:t xml:space="preserve">ffice floorspace granted in SDRAs combined </w:t>
      </w:r>
      <w:r w:rsidRPr="001F0857">
        <w:rPr>
          <w:rFonts w:cs="Arial"/>
        </w:rPr>
        <w:t>was 126,496 sq. m. A total of 11 no. applications were granted</w:t>
      </w:r>
      <w:r w:rsidRPr="00B40734">
        <w:rPr>
          <w:rFonts w:cs="Arial"/>
        </w:rPr>
        <w:t>.</w:t>
      </w:r>
      <w:r>
        <w:rPr>
          <w:rFonts w:cs="Arial"/>
        </w:rPr>
        <w:t xml:space="preserve"> (See Table 5 above)</w:t>
      </w:r>
    </w:p>
    <w:p w14:paraId="2635ACA4" w14:textId="77777777" w:rsidR="00863765" w:rsidRPr="00B40734" w:rsidRDefault="00863765" w:rsidP="00863765">
      <w:pPr>
        <w:ind w:left="720"/>
      </w:pPr>
    </w:p>
    <w:p w14:paraId="742CD290" w14:textId="77777777" w:rsidR="00863765" w:rsidRDefault="00863765" w:rsidP="00863765">
      <w:pPr>
        <w:numPr>
          <w:ilvl w:val="0"/>
          <w:numId w:val="8"/>
        </w:numPr>
        <w:spacing w:after="160"/>
      </w:pPr>
      <w:r w:rsidRPr="00B40734">
        <w:t>Retail floorspace quantum</w:t>
      </w:r>
    </w:p>
    <w:p w14:paraId="1EFFEB97" w14:textId="20849EAB" w:rsidR="00942BC2" w:rsidRDefault="00942BC2" w:rsidP="00942BC2">
      <w:pPr>
        <w:rPr>
          <w:rFonts w:cs="Arial"/>
        </w:rPr>
      </w:pPr>
      <w:r w:rsidRPr="00942BC2">
        <w:rPr>
          <w:rFonts w:cs="Arial"/>
        </w:rPr>
        <w:t>There is no figure available for the city. However, in 2024 total retail floorspace granted in SDRAs combined was 10,038 sq. m. A total of 21 no. applications were granted. (See Table 6 above</w:t>
      </w:r>
      <w:r w:rsidR="00745111" w:rsidRPr="00942BC2">
        <w:rPr>
          <w:rFonts w:cs="Arial"/>
        </w:rPr>
        <w:t>).</w:t>
      </w:r>
    </w:p>
    <w:p w14:paraId="3B75368D" w14:textId="77777777" w:rsidR="00942BC2" w:rsidRDefault="00942BC2" w:rsidP="00942BC2">
      <w:pPr>
        <w:rPr>
          <w:rFonts w:cs="Arial"/>
        </w:rPr>
      </w:pPr>
    </w:p>
    <w:p w14:paraId="0275192A" w14:textId="2C19C1ED" w:rsidR="00942BC2" w:rsidRDefault="00942BC2" w:rsidP="00942BC2">
      <w:pPr>
        <w:pStyle w:val="ListParagraph"/>
        <w:numPr>
          <w:ilvl w:val="0"/>
          <w:numId w:val="8"/>
        </w:numPr>
        <w:rPr>
          <w:rFonts w:cs="Arial"/>
        </w:rPr>
      </w:pPr>
      <w:r>
        <w:rPr>
          <w:rFonts w:cs="Arial"/>
        </w:rPr>
        <w:t>City Centre Office Rents</w:t>
      </w:r>
    </w:p>
    <w:p w14:paraId="78DEA697" w14:textId="79721A67" w:rsidR="00942BC2" w:rsidRDefault="00942BC2" w:rsidP="00942BC2">
      <w:r>
        <w:rPr>
          <w:rFonts w:cs="Arial"/>
        </w:rPr>
        <w:t>This information is not available within Dublin City Council. However, according to Lisney’s ‘Office Report Q4 2024’</w:t>
      </w:r>
      <w:r w:rsidR="00606CEA">
        <w:rPr>
          <w:rFonts w:cs="Arial"/>
        </w:rPr>
        <w:t>, the City Centre Prime Headline Rent for Quarter 4 2024 was €678 per sq. m (</w:t>
      </w:r>
      <w:r w:rsidR="00745111">
        <w:t>S</w:t>
      </w:r>
      <w:r w:rsidR="00745111" w:rsidRPr="00B40734">
        <w:t>ource</w:t>
      </w:r>
      <w:r w:rsidR="00745111">
        <w:t xml:space="preserve">: </w:t>
      </w:r>
      <w:proofErr w:type="spellStart"/>
      <w:r w:rsidR="00745111">
        <w:t>Lisney</w:t>
      </w:r>
      <w:proofErr w:type="spellEnd"/>
      <w:r w:rsidR="00576B96">
        <w:t xml:space="preserve"> Office Report Q4 2024)</w:t>
      </w:r>
    </w:p>
    <w:p w14:paraId="02CCDBCB" w14:textId="77777777" w:rsidR="0079582E" w:rsidRDefault="0079582E" w:rsidP="00942BC2"/>
    <w:p w14:paraId="506F6382" w14:textId="77777777" w:rsidR="0079582E" w:rsidRPr="008C2AED" w:rsidRDefault="0079582E" w:rsidP="00942BC2"/>
    <w:p w14:paraId="78A25896" w14:textId="77777777" w:rsidR="008C2AED" w:rsidRDefault="008C2AED" w:rsidP="00942BC2">
      <w:pPr>
        <w:rPr>
          <w:rFonts w:cs="Arial"/>
        </w:rPr>
      </w:pPr>
    </w:p>
    <w:p w14:paraId="61816CFD" w14:textId="77777777" w:rsidR="00942BC2" w:rsidRDefault="00942BC2" w:rsidP="00942BC2">
      <w:pPr>
        <w:rPr>
          <w:rFonts w:cs="Arial"/>
        </w:rPr>
      </w:pPr>
    </w:p>
    <w:p w14:paraId="37A0BAFF" w14:textId="77777777" w:rsidR="00942BC2" w:rsidRDefault="00942BC2" w:rsidP="00942BC2">
      <w:pPr>
        <w:rPr>
          <w:rFonts w:cs="Arial"/>
        </w:rPr>
      </w:pPr>
    </w:p>
    <w:p w14:paraId="22113C06" w14:textId="77777777" w:rsidR="00942BC2" w:rsidRDefault="00942BC2" w:rsidP="00942BC2">
      <w:pPr>
        <w:rPr>
          <w:rFonts w:cs="Arial"/>
        </w:rPr>
      </w:pPr>
    </w:p>
    <w:p w14:paraId="30E88C79" w14:textId="77777777" w:rsidR="00942BC2" w:rsidRDefault="00942BC2" w:rsidP="00942BC2">
      <w:pPr>
        <w:rPr>
          <w:rFonts w:cs="Arial"/>
        </w:rPr>
      </w:pPr>
    </w:p>
    <w:p w14:paraId="149E4CF4" w14:textId="77777777" w:rsidR="00942BC2" w:rsidRDefault="00942BC2" w:rsidP="00942BC2">
      <w:pPr>
        <w:rPr>
          <w:rFonts w:cs="Arial"/>
        </w:rPr>
      </w:pPr>
    </w:p>
    <w:p w14:paraId="58F2C9A3" w14:textId="77777777" w:rsidR="00942BC2" w:rsidRDefault="00942BC2" w:rsidP="00B84DE8">
      <w:pPr>
        <w:spacing w:after="160"/>
        <w:rPr>
          <w:rFonts w:cs="Arial"/>
        </w:rPr>
      </w:pPr>
    </w:p>
    <w:p w14:paraId="28067676" w14:textId="77777777" w:rsidR="00336E32" w:rsidRPr="00B40734" w:rsidRDefault="00336E32" w:rsidP="00B84DE8">
      <w:pPr>
        <w:spacing w:after="160"/>
      </w:pPr>
    </w:p>
    <w:p w14:paraId="115CA850" w14:textId="77777777" w:rsidR="00863765" w:rsidRDefault="00863765" w:rsidP="00863765">
      <w:pPr>
        <w:ind w:left="720"/>
      </w:pPr>
    </w:p>
    <w:p w14:paraId="76CC5A71" w14:textId="77777777" w:rsidR="008C2AED" w:rsidRDefault="008C2AED" w:rsidP="00863765">
      <w:pPr>
        <w:ind w:left="720"/>
      </w:pPr>
    </w:p>
    <w:p w14:paraId="2ED9C904" w14:textId="77777777" w:rsidR="008C2AED" w:rsidRDefault="008C2AED" w:rsidP="00863765">
      <w:pPr>
        <w:ind w:left="720"/>
      </w:pPr>
    </w:p>
    <w:p w14:paraId="67D1A4B1" w14:textId="77777777" w:rsidR="00863765" w:rsidRDefault="00863765" w:rsidP="00336E32"/>
    <w:p w14:paraId="2AF7F60D" w14:textId="77777777" w:rsidR="00336E32" w:rsidRDefault="00336E32" w:rsidP="00336E32"/>
    <w:p w14:paraId="741C6167" w14:textId="77777777" w:rsidR="00336E32" w:rsidRPr="00B40734" w:rsidRDefault="00336E32" w:rsidP="00336E32"/>
    <w:p w14:paraId="29827D7C" w14:textId="77777777" w:rsidR="00863765" w:rsidRPr="00B40734" w:rsidRDefault="00863765" w:rsidP="00863765">
      <w:pPr>
        <w:ind w:firstLine="60"/>
      </w:pPr>
    </w:p>
    <w:p w14:paraId="3484D80C" w14:textId="7EB1E0D6" w:rsidR="00A238EE" w:rsidRPr="00B67AD3" w:rsidRDefault="00A238EE" w:rsidP="00B67AD3">
      <w:pPr>
        <w:spacing w:line="240" w:lineRule="auto"/>
        <w:jc w:val="left"/>
        <w:sectPr w:rsidR="00A238EE" w:rsidRPr="00B67AD3" w:rsidSect="00A238EE">
          <w:type w:val="continuous"/>
          <w:pgSz w:w="16838" w:h="11906" w:orient="landscape"/>
          <w:pgMar w:top="1440" w:right="1440" w:bottom="1440" w:left="1440" w:header="708" w:footer="708" w:gutter="0"/>
          <w:cols w:num="2" w:space="708"/>
          <w:titlePg/>
          <w:docGrid w:linePitch="360"/>
        </w:sectPr>
      </w:pPr>
    </w:p>
    <w:p w14:paraId="33934CE5" w14:textId="77777777" w:rsidR="0079582E" w:rsidRDefault="00606CEA" w:rsidP="00606CEA">
      <w:pPr>
        <w:spacing w:after="160"/>
      </w:pPr>
      <w:r>
        <w:t xml:space="preserve">      </w:t>
      </w:r>
    </w:p>
    <w:p w14:paraId="037D18F7" w14:textId="053959A1" w:rsidR="00606CEA" w:rsidRPr="00B40734" w:rsidRDefault="0079582E" w:rsidP="0079582E">
      <w:pPr>
        <w:spacing w:after="160"/>
      </w:pPr>
      <w:r>
        <w:t xml:space="preserve">      </w:t>
      </w:r>
      <w:r w:rsidR="00606CEA">
        <w:t xml:space="preserve">d) </w:t>
      </w:r>
      <w:r w:rsidR="00606CEA" w:rsidRPr="00B40734">
        <w:t>Dublin Office Vacancy Rate</w:t>
      </w:r>
    </w:p>
    <w:p w14:paraId="612E7411" w14:textId="763DDE91" w:rsidR="00942BC2" w:rsidRPr="00606CEA" w:rsidRDefault="00606CEA" w:rsidP="00606CEA">
      <w:pPr>
        <w:pStyle w:val="Heading3"/>
        <w:numPr>
          <w:ilvl w:val="0"/>
          <w:numId w:val="0"/>
        </w:numPr>
        <w:rPr>
          <w:rFonts w:eastAsia="Times"/>
          <w:b w:val="0"/>
          <w:bCs/>
          <w:lang w:val="en-GB" w:eastAsia="en-IE"/>
        </w:rPr>
      </w:pPr>
      <w:r w:rsidRPr="00606CEA">
        <w:rPr>
          <w:b w:val="0"/>
          <w:bCs/>
        </w:rPr>
        <w:t xml:space="preserve">The Dublin Office Headline Vacancy rate was 16.9% in Q4 2024, having risen from 16.6% in Q4 2023 (Source: </w:t>
      </w:r>
      <w:proofErr w:type="spellStart"/>
      <w:r w:rsidRPr="00606CEA">
        <w:rPr>
          <w:b w:val="0"/>
          <w:bCs/>
        </w:rPr>
        <w:t>Lisney</w:t>
      </w:r>
      <w:proofErr w:type="spellEnd"/>
      <w:r w:rsidRPr="00606CEA">
        <w:rPr>
          <w:b w:val="0"/>
          <w:bCs/>
        </w:rPr>
        <w:t xml:space="preserve"> Office Reports for Q4 2023 &amp; 2024).</w:t>
      </w:r>
    </w:p>
    <w:p w14:paraId="5DD54DE6" w14:textId="77777777" w:rsidR="00942BC2" w:rsidRDefault="00942BC2" w:rsidP="00863765">
      <w:pPr>
        <w:pStyle w:val="Heading3"/>
        <w:numPr>
          <w:ilvl w:val="0"/>
          <w:numId w:val="0"/>
        </w:numPr>
        <w:rPr>
          <w:rFonts w:eastAsia="Times"/>
          <w:lang w:val="en-GB" w:eastAsia="en-IE"/>
        </w:rPr>
      </w:pPr>
    </w:p>
    <w:p w14:paraId="239B59E1" w14:textId="072EFDEB" w:rsidR="00606CEA" w:rsidRPr="00B40734" w:rsidRDefault="00606CEA" w:rsidP="00606CEA">
      <w:pPr>
        <w:spacing w:after="160"/>
        <w:ind w:left="360"/>
      </w:pPr>
      <w:r>
        <w:t xml:space="preserve">e) </w:t>
      </w:r>
      <w:r w:rsidRPr="00B40734">
        <w:t>Unemployment rate (census)</w:t>
      </w:r>
    </w:p>
    <w:p w14:paraId="19D3CBAE" w14:textId="6A813092" w:rsidR="00606CEA" w:rsidRPr="00016BA8" w:rsidRDefault="00606CEA" w:rsidP="00606CEA">
      <w:r w:rsidRPr="00B40734">
        <w:t xml:space="preserve">The National </w:t>
      </w:r>
      <w:r>
        <w:t xml:space="preserve">unemployment </w:t>
      </w:r>
      <w:r w:rsidRPr="00B40734">
        <w:t xml:space="preserve">figure for </w:t>
      </w:r>
      <w:r w:rsidRPr="001F0857">
        <w:t xml:space="preserve">Q4 2024 </w:t>
      </w:r>
      <w:r w:rsidRPr="006D14A5">
        <w:t>was 4.2%.</w:t>
      </w:r>
      <w:r w:rsidRPr="001F0857">
        <w:t xml:space="preserve"> The Dublin figure for Q4</w:t>
      </w:r>
      <w:r>
        <w:t xml:space="preserve"> 2024</w:t>
      </w:r>
      <w:r w:rsidRPr="001F0857">
        <w:t xml:space="preserve"> was 4.9%</w:t>
      </w:r>
      <w:r w:rsidR="005B66A4">
        <w:t>,</w:t>
      </w:r>
      <w:r w:rsidRPr="001F0857">
        <w:t xml:space="preserve"> down 0.2% from 5.1% in Q4 2023. (Source: Dublin Economic Monitor</w:t>
      </w:r>
      <w:r>
        <w:t>,</w:t>
      </w:r>
      <w:r w:rsidRPr="001F0857">
        <w:t xml:space="preserve"> March 202</w:t>
      </w:r>
      <w:r>
        <w:t>5</w:t>
      </w:r>
      <w:r w:rsidRPr="001F0857">
        <w:t>)</w:t>
      </w:r>
    </w:p>
    <w:p w14:paraId="24BDE232" w14:textId="77777777" w:rsidR="00606CEA" w:rsidRPr="00606CEA" w:rsidRDefault="00606CEA" w:rsidP="00606CEA">
      <w:pPr>
        <w:rPr>
          <w:lang w:val="en-GB" w:eastAsia="en-IE"/>
        </w:rPr>
      </w:pPr>
    </w:p>
    <w:p w14:paraId="7257FFB2" w14:textId="77777777" w:rsidR="00606CEA" w:rsidRDefault="00606CEA" w:rsidP="00606CEA">
      <w:pPr>
        <w:rPr>
          <w:lang w:val="en-GB" w:eastAsia="en-IE"/>
        </w:rPr>
      </w:pPr>
    </w:p>
    <w:p w14:paraId="5BE144BD" w14:textId="77777777" w:rsidR="00606CEA" w:rsidRDefault="00606CEA" w:rsidP="00606CEA">
      <w:pPr>
        <w:rPr>
          <w:lang w:val="en-GB" w:eastAsia="en-IE"/>
        </w:rPr>
      </w:pPr>
    </w:p>
    <w:p w14:paraId="169EE2B9" w14:textId="6F6A41B5" w:rsidR="00A238EE" w:rsidRPr="00B40734" w:rsidRDefault="00A238EE" w:rsidP="00863765">
      <w:pPr>
        <w:pStyle w:val="Heading3"/>
        <w:numPr>
          <w:ilvl w:val="0"/>
          <w:numId w:val="0"/>
        </w:numPr>
        <w:rPr>
          <w:rFonts w:eastAsia="Times"/>
          <w:i/>
          <w:lang w:val="en-GB" w:eastAsia="en-IE"/>
        </w:rPr>
      </w:pPr>
      <w:r w:rsidRPr="00B40734">
        <w:rPr>
          <w:rFonts w:eastAsia="Times"/>
          <w:lang w:val="en-GB" w:eastAsia="en-IE"/>
        </w:rPr>
        <w:t>Indicator 5: Movement and Transport</w:t>
      </w:r>
    </w:p>
    <w:p w14:paraId="686C91C5" w14:textId="77777777" w:rsidR="00A238EE" w:rsidRPr="00B40734" w:rsidRDefault="00A238EE" w:rsidP="00A238EE">
      <w:pPr>
        <w:rPr>
          <w:lang w:val="en-GB" w:eastAsia="en-IE"/>
        </w:rPr>
      </w:pPr>
    </w:p>
    <w:p w14:paraId="2821261C" w14:textId="77777777" w:rsidR="00A238EE" w:rsidRPr="00B40734" w:rsidRDefault="00A238EE" w:rsidP="00A238EE">
      <w:pPr>
        <w:numPr>
          <w:ilvl w:val="0"/>
          <w:numId w:val="9"/>
        </w:numPr>
        <w:spacing w:after="160"/>
      </w:pPr>
      <w:r w:rsidRPr="00B40734">
        <w:t>Canal Cordon Counts: Cycle and Pedestrian</w:t>
      </w:r>
    </w:p>
    <w:p w14:paraId="1ABFB719" w14:textId="77777777" w:rsidR="00A238EE" w:rsidRPr="00B40734" w:rsidRDefault="00A238EE" w:rsidP="00A238EE">
      <w:pPr>
        <w:spacing w:before="60" w:after="60"/>
        <w:ind w:left="1080"/>
        <w:contextualSpacing/>
        <w:rPr>
          <w:rFonts w:cs="Arial"/>
          <w:b/>
        </w:rPr>
      </w:pPr>
    </w:p>
    <w:p w14:paraId="47DFF307" w14:textId="77777777" w:rsidR="00A238EE" w:rsidRPr="00B40734" w:rsidRDefault="00A238EE" w:rsidP="00A238EE">
      <w:pPr>
        <w:rPr>
          <w:b/>
        </w:rPr>
      </w:pPr>
      <w:r w:rsidRPr="00B40734">
        <w:rPr>
          <w:b/>
        </w:rPr>
        <w:t>Cycle</w:t>
      </w:r>
    </w:p>
    <w:p w14:paraId="757B2F2D" w14:textId="77777777" w:rsidR="00A238EE" w:rsidRPr="00B40734" w:rsidRDefault="00A238EE" w:rsidP="00A238EE"/>
    <w:p w14:paraId="11CDD72C" w14:textId="32EEE673" w:rsidR="00A238EE" w:rsidRPr="003A252E" w:rsidRDefault="00A238EE" w:rsidP="00A238EE">
      <w:pPr>
        <w:rPr>
          <w:iCs/>
        </w:rPr>
      </w:pPr>
      <w:r w:rsidRPr="00B40734">
        <w:t xml:space="preserve">The overall number of cyclists observed crossing the canal was </w:t>
      </w:r>
      <w:r w:rsidRPr="001F0857">
        <w:rPr>
          <w:rFonts w:cs="Arial"/>
          <w:shd w:val="clear" w:color="auto" w:fill="FFFFFF"/>
        </w:rPr>
        <w:t>10,646</w:t>
      </w:r>
      <w:r w:rsidRPr="001F0857">
        <w:rPr>
          <w:rFonts w:cs="Arial"/>
        </w:rPr>
        <w:t xml:space="preserve"> in the AM peak period in 2024 which </w:t>
      </w:r>
      <w:r w:rsidRPr="001F0857">
        <w:rPr>
          <w:rFonts w:cs="Arial"/>
          <w:shd w:val="clear" w:color="auto" w:fill="FFFFFF"/>
        </w:rPr>
        <w:t>is up from the 2023 number of 9,406.</w:t>
      </w:r>
      <w:r w:rsidRPr="001F0857">
        <w:rPr>
          <w:rFonts w:ascii="Segoe UI" w:hAnsi="Segoe UI" w:cs="Segoe UI"/>
          <w:shd w:val="clear" w:color="auto" w:fill="FFFFFF"/>
        </w:rPr>
        <w:t> </w:t>
      </w:r>
      <w:r w:rsidRPr="001F0857">
        <w:rPr>
          <w:i/>
        </w:rPr>
        <w:t xml:space="preserve"> </w:t>
      </w:r>
      <w:r w:rsidRPr="003A252E">
        <w:rPr>
          <w:iCs/>
        </w:rPr>
        <w:t>(Source: NTA – Canal Cordon Report 2024)</w:t>
      </w:r>
    </w:p>
    <w:p w14:paraId="20C47659" w14:textId="77777777" w:rsidR="00A238EE" w:rsidRPr="003A252E" w:rsidRDefault="00A238EE" w:rsidP="00A238EE">
      <w:pPr>
        <w:rPr>
          <w:iCs/>
        </w:rPr>
      </w:pPr>
      <w:r w:rsidRPr="003A252E">
        <w:rPr>
          <w:iCs/>
        </w:rPr>
        <w:t xml:space="preserve"> </w:t>
      </w:r>
    </w:p>
    <w:p w14:paraId="2BFCF320" w14:textId="70CC1910" w:rsidR="00A238EE" w:rsidRPr="001F0857" w:rsidRDefault="00A238EE" w:rsidP="00A238EE">
      <w:pPr>
        <w:rPr>
          <w:rFonts w:cs="Arial"/>
        </w:rPr>
      </w:pPr>
      <w:r w:rsidRPr="009E1B31">
        <w:rPr>
          <w:rFonts w:cs="Arial"/>
        </w:rPr>
        <w:t>For broader context, the overall mode share for sustainable transport modes in 2024</w:t>
      </w:r>
      <w:r w:rsidR="00481A77" w:rsidRPr="009E1B31">
        <w:rPr>
          <w:rFonts w:cs="Arial"/>
        </w:rPr>
        <w:t>, 74.1%, was</w:t>
      </w:r>
      <w:r w:rsidR="00D820A1" w:rsidRPr="009E1B31">
        <w:rPr>
          <w:rFonts w:cs="Arial"/>
        </w:rPr>
        <w:t xml:space="preserve"> 0.4</w:t>
      </w:r>
      <w:r w:rsidRPr="009E1B31">
        <w:rPr>
          <w:rFonts w:cs="Arial"/>
        </w:rPr>
        <w:t xml:space="preserve"> % higher than 202</w:t>
      </w:r>
      <w:r w:rsidR="00481A77" w:rsidRPr="009E1B31">
        <w:rPr>
          <w:rFonts w:cs="Arial"/>
        </w:rPr>
        <w:t>3</w:t>
      </w:r>
      <w:r w:rsidRPr="009E1B31">
        <w:rPr>
          <w:rFonts w:cs="Arial"/>
        </w:rPr>
        <w:t xml:space="preserve"> and 13.</w:t>
      </w:r>
      <w:r w:rsidR="00D820A1" w:rsidRPr="009E1B31">
        <w:rPr>
          <w:rFonts w:cs="Arial"/>
        </w:rPr>
        <w:t>4</w:t>
      </w:r>
      <w:r w:rsidRPr="009E1B31">
        <w:rPr>
          <w:rFonts w:cs="Arial"/>
        </w:rPr>
        <w:t>% higher than 2006.</w:t>
      </w:r>
      <w:r w:rsidR="001157D5" w:rsidRPr="009E1B31">
        <w:rPr>
          <w:rFonts w:cs="Arial"/>
        </w:rPr>
        <w:tab/>
        <w:t xml:space="preserve"> </w:t>
      </w:r>
    </w:p>
    <w:p w14:paraId="2207CE58" w14:textId="77777777" w:rsidR="00A238EE" w:rsidRPr="00B40734" w:rsidRDefault="00A238EE" w:rsidP="00A238EE"/>
    <w:p w14:paraId="2083D6E5" w14:textId="77777777" w:rsidR="00A238EE" w:rsidRPr="00B40734" w:rsidRDefault="00A238EE" w:rsidP="00A238EE">
      <w:r w:rsidRPr="00B40734">
        <w:rPr>
          <w:b/>
        </w:rPr>
        <w:lastRenderedPageBreak/>
        <w:t>Pedestrian</w:t>
      </w:r>
    </w:p>
    <w:p w14:paraId="7CD7C942" w14:textId="77777777" w:rsidR="00A238EE" w:rsidRPr="00B40734" w:rsidRDefault="00A238EE" w:rsidP="00A238EE">
      <w:r w:rsidRPr="00B40734">
        <w:t xml:space="preserve">The number of pedestrians crossing the canal cordon in the AM peak period has decreased from 24,691 in 2019 </w:t>
      </w:r>
      <w:r w:rsidRPr="001F0857">
        <w:t xml:space="preserve">to 18,564 </w:t>
      </w:r>
      <w:r w:rsidRPr="00B40734">
        <w:t>in 2024</w:t>
      </w:r>
      <w:r w:rsidRPr="0030597A">
        <w:t>.</w:t>
      </w:r>
    </w:p>
    <w:p w14:paraId="7D50E069" w14:textId="77777777" w:rsidR="00A238EE" w:rsidRPr="00B40734" w:rsidRDefault="00A238EE" w:rsidP="00A238EE">
      <w:r w:rsidRPr="00B40734">
        <w:t xml:space="preserve">(Source: Ibid). </w:t>
      </w:r>
    </w:p>
    <w:p w14:paraId="22BE0AAA" w14:textId="77777777" w:rsidR="00A238EE" w:rsidRPr="00B40734" w:rsidRDefault="00A238EE" w:rsidP="00A238EE">
      <w:pPr>
        <w:spacing w:before="60" w:after="60"/>
        <w:ind w:left="720"/>
        <w:contextualSpacing/>
        <w:rPr>
          <w:rFonts w:cs="Arial"/>
          <w:i/>
        </w:rPr>
      </w:pPr>
    </w:p>
    <w:p w14:paraId="6FABF299" w14:textId="3EC1105D" w:rsidR="00A238EE" w:rsidRPr="00B40734" w:rsidRDefault="00A238EE" w:rsidP="00A238EE">
      <w:pPr>
        <w:numPr>
          <w:ilvl w:val="0"/>
          <w:numId w:val="9"/>
        </w:numPr>
        <w:spacing w:before="60" w:after="60" w:line="276" w:lineRule="auto"/>
        <w:rPr>
          <w:rFonts w:cs="Arial"/>
        </w:rPr>
      </w:pPr>
      <w:r w:rsidRPr="00B40734">
        <w:rPr>
          <w:rFonts w:cs="Arial"/>
        </w:rPr>
        <w:t xml:space="preserve">City centre footfall figures (via </w:t>
      </w:r>
      <w:r w:rsidR="00B5589B" w:rsidRPr="00B5589B">
        <w:rPr>
          <w:rFonts w:cs="Arial"/>
        </w:rPr>
        <w:t>data.gov.ie</w:t>
      </w:r>
      <w:r w:rsidRPr="00B40734">
        <w:rPr>
          <w:rFonts w:cs="Arial"/>
        </w:rPr>
        <w:t xml:space="preserve"> site). </w:t>
      </w:r>
    </w:p>
    <w:p w14:paraId="3286C56E" w14:textId="63F3356E" w:rsidR="00A238EE" w:rsidRPr="00B40734" w:rsidRDefault="00A238EE" w:rsidP="00A238EE">
      <w:r w:rsidRPr="00B40734">
        <w:t xml:space="preserve">Table </w:t>
      </w:r>
      <w:r w:rsidR="00807463">
        <w:t>10</w:t>
      </w:r>
      <w:r w:rsidRPr="00B40734">
        <w:t xml:space="preserve"> represents a sample only of some key locations and dates/times. All figures are for 2024. Comprehensive figures are available at</w:t>
      </w:r>
      <w:r w:rsidR="00B5589B">
        <w:t xml:space="preserve"> </w:t>
      </w:r>
      <w:bookmarkStart w:id="38" w:name="_Hlk205456654"/>
      <w:r w:rsidR="00B5589B">
        <w:fldChar w:fldCharType="begin"/>
      </w:r>
      <w:r w:rsidR="00B5589B">
        <w:instrText>HYPERLINK "https://data.gov.ie/dataset/dublin-city-centre-footfall-counters/resource/bd388560-7cb2-4c3c-9d29-b03dd0436e30"</w:instrText>
      </w:r>
      <w:r w:rsidR="00B5589B">
        <w:fldChar w:fldCharType="separate"/>
      </w:r>
      <w:r w:rsidR="00B5589B" w:rsidRPr="00B5589B">
        <w:rPr>
          <w:rStyle w:val="Hyperlink"/>
        </w:rPr>
        <w:t>Pedestrian Footfall DCC - 2024 Pedestrian Footfall DCC - data.gov.ie</w:t>
      </w:r>
      <w:r w:rsidR="00B5589B">
        <w:fldChar w:fldCharType="end"/>
      </w:r>
      <w:r w:rsidRPr="00B40734">
        <w:t xml:space="preserve"> </w:t>
      </w:r>
      <w:bookmarkEnd w:id="38"/>
    </w:p>
    <w:p w14:paraId="29A46930" w14:textId="77777777" w:rsidR="00EA2259" w:rsidRDefault="00EA2259" w:rsidP="00A238EE"/>
    <w:p w14:paraId="555228D4" w14:textId="77777777" w:rsidR="00EA2259" w:rsidRPr="00B40734" w:rsidRDefault="00EA2259" w:rsidP="00A238EE"/>
    <w:p w14:paraId="719CC737" w14:textId="6FA83A1F" w:rsidR="00A238EE" w:rsidRPr="00B40734" w:rsidRDefault="00A238EE" w:rsidP="00A238EE">
      <w:pPr>
        <w:keepNext/>
        <w:spacing w:after="200" w:line="276" w:lineRule="auto"/>
        <w:contextualSpacing/>
        <w:jc w:val="center"/>
        <w:rPr>
          <w:rFonts w:eastAsia="Calibri" w:cstheme="minorHAnsi"/>
          <w:b/>
          <w:bCs/>
          <w:szCs w:val="16"/>
        </w:rPr>
      </w:pPr>
      <w:bookmarkStart w:id="39" w:name="_Ref178785193"/>
      <w:bookmarkStart w:id="40" w:name="_Toc180059286"/>
      <w:r w:rsidRPr="00B40734">
        <w:rPr>
          <w:rFonts w:eastAsia="Calibri" w:cstheme="minorHAnsi"/>
          <w:b/>
          <w:bCs/>
          <w:szCs w:val="16"/>
        </w:rPr>
        <w:t>Table</w:t>
      </w:r>
      <w:bookmarkEnd w:id="39"/>
      <w:r w:rsidRPr="00B40734">
        <w:rPr>
          <w:rFonts w:eastAsia="Calibri" w:cstheme="minorHAnsi"/>
          <w:b/>
          <w:bCs/>
          <w:szCs w:val="16"/>
        </w:rPr>
        <w:t xml:space="preserve"> </w:t>
      </w:r>
      <w:r w:rsidR="00DC4656">
        <w:rPr>
          <w:rFonts w:eastAsia="Calibri" w:cstheme="minorHAnsi"/>
          <w:b/>
          <w:bCs/>
          <w:szCs w:val="16"/>
        </w:rPr>
        <w:t>10</w:t>
      </w:r>
      <w:r w:rsidRPr="00B40734">
        <w:rPr>
          <w:rFonts w:eastAsia="Calibri" w:cstheme="minorHAnsi"/>
          <w:b/>
          <w:bCs/>
          <w:szCs w:val="16"/>
        </w:rPr>
        <w:t xml:space="preserve">: City Centre </w:t>
      </w:r>
      <w:r w:rsidR="00A75E83">
        <w:rPr>
          <w:rFonts w:eastAsia="Calibri" w:cstheme="minorHAnsi"/>
          <w:b/>
          <w:bCs/>
          <w:szCs w:val="16"/>
        </w:rPr>
        <w:t>Pedestrian Counts</w:t>
      </w:r>
      <w:r w:rsidRPr="00B40734">
        <w:rPr>
          <w:rFonts w:eastAsia="Calibri" w:cstheme="minorHAnsi"/>
          <w:b/>
          <w:bCs/>
          <w:szCs w:val="16"/>
        </w:rPr>
        <w:t>, 202</w:t>
      </w:r>
      <w:bookmarkEnd w:id="40"/>
      <w:r w:rsidRPr="00B40734">
        <w:rPr>
          <w:rFonts w:eastAsia="Calibri" w:cstheme="minorHAnsi"/>
          <w:b/>
          <w:bCs/>
          <w:szCs w:val="16"/>
        </w:rPr>
        <w:t>4</w:t>
      </w:r>
    </w:p>
    <w:tbl>
      <w:tblPr>
        <w:tblStyle w:val="TableGrid1"/>
        <w:tblW w:w="6866" w:type="dxa"/>
        <w:jc w:val="center"/>
        <w:tblLayout w:type="fixed"/>
        <w:tblLook w:val="04A0" w:firstRow="1" w:lastRow="0" w:firstColumn="1" w:lastColumn="0" w:noHBand="0" w:noVBand="1"/>
      </w:tblPr>
      <w:tblGrid>
        <w:gridCol w:w="3681"/>
        <w:gridCol w:w="1626"/>
        <w:gridCol w:w="1559"/>
      </w:tblGrid>
      <w:tr w:rsidR="00A238EE" w:rsidRPr="00B40734" w14:paraId="3372BC44" w14:textId="77777777" w:rsidTr="00A238EE">
        <w:trPr>
          <w:cantSplit/>
          <w:jc w:val="center"/>
        </w:trPr>
        <w:tc>
          <w:tcPr>
            <w:tcW w:w="3681" w:type="dxa"/>
          </w:tcPr>
          <w:p w14:paraId="26938CC8" w14:textId="77777777" w:rsidR="00A238EE" w:rsidRPr="00B40734" w:rsidRDefault="00A238EE" w:rsidP="00A238EE">
            <w:pPr>
              <w:spacing w:after="150"/>
              <w:jc w:val="center"/>
              <w:rPr>
                <w:rFonts w:eastAsia="Times New Roman" w:cs="Arial"/>
                <w:b/>
                <w:szCs w:val="20"/>
                <w:lang w:eastAsia="en-IE"/>
              </w:rPr>
            </w:pPr>
            <w:r w:rsidRPr="00B40734">
              <w:rPr>
                <w:rFonts w:eastAsia="Times New Roman" w:cs="Arial"/>
                <w:b/>
                <w:szCs w:val="20"/>
                <w:lang w:eastAsia="en-IE"/>
              </w:rPr>
              <w:t>Location</w:t>
            </w:r>
          </w:p>
        </w:tc>
        <w:tc>
          <w:tcPr>
            <w:tcW w:w="1626" w:type="dxa"/>
          </w:tcPr>
          <w:p w14:paraId="7E3AB065" w14:textId="00EEDCCB" w:rsidR="00A238EE" w:rsidRPr="00A132A9" w:rsidRDefault="00984E9D" w:rsidP="00992734">
            <w:pPr>
              <w:spacing w:after="150"/>
              <w:jc w:val="center"/>
              <w:rPr>
                <w:rFonts w:eastAsia="Times New Roman" w:cs="Arial"/>
                <w:szCs w:val="20"/>
                <w:lang w:eastAsia="en-IE"/>
              </w:rPr>
            </w:pPr>
            <w:r>
              <w:rPr>
                <w:rFonts w:eastAsia="Times New Roman" w:cs="Arial"/>
                <w:b/>
                <w:szCs w:val="20"/>
                <w:lang w:eastAsia="en-IE"/>
              </w:rPr>
              <w:t>Wed</w:t>
            </w:r>
            <w:r w:rsidR="00A238EE" w:rsidRPr="00B40734">
              <w:rPr>
                <w:rFonts w:eastAsia="Times New Roman" w:cs="Arial"/>
                <w:b/>
                <w:szCs w:val="20"/>
                <w:lang w:eastAsia="en-IE"/>
              </w:rPr>
              <w:t xml:space="preserve"> 21</w:t>
            </w:r>
            <w:r w:rsidR="00A238EE" w:rsidRPr="00B40734">
              <w:rPr>
                <w:rFonts w:eastAsia="Times New Roman" w:cs="Arial"/>
                <w:b/>
                <w:szCs w:val="20"/>
                <w:vertAlign w:val="superscript"/>
                <w:lang w:eastAsia="en-IE"/>
              </w:rPr>
              <w:t>st</w:t>
            </w:r>
            <w:r w:rsidR="00A238EE" w:rsidRPr="00B40734">
              <w:rPr>
                <w:rFonts w:eastAsia="Times New Roman" w:cs="Arial"/>
                <w:b/>
                <w:szCs w:val="20"/>
                <w:lang w:eastAsia="en-IE"/>
              </w:rPr>
              <w:t xml:space="preserve"> Feb 9am 202</w:t>
            </w:r>
            <w:r w:rsidR="00992734">
              <w:rPr>
                <w:rFonts w:eastAsia="Times New Roman" w:cs="Arial"/>
                <w:b/>
                <w:szCs w:val="20"/>
                <w:lang w:eastAsia="en-IE"/>
              </w:rPr>
              <w:t>4</w:t>
            </w:r>
          </w:p>
        </w:tc>
        <w:tc>
          <w:tcPr>
            <w:tcW w:w="1559" w:type="dxa"/>
          </w:tcPr>
          <w:p w14:paraId="2C8E1525" w14:textId="5662904A" w:rsidR="00A238EE" w:rsidRPr="00B40734" w:rsidRDefault="00984E9D" w:rsidP="00A238EE">
            <w:pPr>
              <w:spacing w:after="150"/>
              <w:jc w:val="center"/>
              <w:rPr>
                <w:rFonts w:eastAsia="Times New Roman" w:cs="Arial"/>
                <w:b/>
                <w:szCs w:val="20"/>
                <w:lang w:eastAsia="en-IE"/>
              </w:rPr>
            </w:pPr>
            <w:r>
              <w:rPr>
                <w:rFonts w:eastAsia="Times New Roman" w:cs="Arial"/>
                <w:b/>
                <w:szCs w:val="20"/>
                <w:lang w:eastAsia="en-IE"/>
              </w:rPr>
              <w:t>Mon</w:t>
            </w:r>
            <w:r w:rsidR="00A238EE" w:rsidRPr="00B40734">
              <w:rPr>
                <w:rFonts w:eastAsia="Times New Roman" w:cs="Arial"/>
                <w:b/>
                <w:szCs w:val="20"/>
                <w:lang w:eastAsia="en-IE"/>
              </w:rPr>
              <w:t xml:space="preserve"> 1</w:t>
            </w:r>
            <w:r w:rsidR="00A238EE" w:rsidRPr="00B40734">
              <w:rPr>
                <w:rFonts w:eastAsia="Times New Roman" w:cs="Arial"/>
                <w:b/>
                <w:szCs w:val="20"/>
                <w:vertAlign w:val="superscript"/>
                <w:lang w:eastAsia="en-IE"/>
              </w:rPr>
              <w:t>st</w:t>
            </w:r>
            <w:r w:rsidR="00A238EE" w:rsidRPr="00B40734">
              <w:rPr>
                <w:rFonts w:eastAsia="Times New Roman" w:cs="Arial"/>
                <w:b/>
                <w:szCs w:val="20"/>
                <w:lang w:eastAsia="en-IE"/>
              </w:rPr>
              <w:t xml:space="preserve"> July 16.00</w:t>
            </w:r>
            <w:r w:rsidR="00A24B64" w:rsidRPr="00B40734">
              <w:rPr>
                <w:rFonts w:eastAsia="Times New Roman" w:cs="Arial"/>
                <w:b/>
                <w:szCs w:val="20"/>
                <w:lang w:eastAsia="en-IE"/>
              </w:rPr>
              <w:t>, 2024</w:t>
            </w:r>
          </w:p>
          <w:p w14:paraId="61CDE90F" w14:textId="3FE8ABE6" w:rsidR="00A238EE" w:rsidRPr="00B40734" w:rsidRDefault="00A238EE" w:rsidP="00A238EE">
            <w:pPr>
              <w:spacing w:after="150"/>
              <w:jc w:val="center"/>
              <w:rPr>
                <w:rFonts w:eastAsia="Times New Roman" w:cs="Arial"/>
                <w:b/>
                <w:szCs w:val="20"/>
                <w:lang w:eastAsia="en-IE"/>
              </w:rPr>
            </w:pPr>
          </w:p>
        </w:tc>
      </w:tr>
      <w:tr w:rsidR="00A238EE" w:rsidRPr="00B40734" w14:paraId="76DAB825" w14:textId="77777777" w:rsidTr="00A238EE">
        <w:trPr>
          <w:cantSplit/>
          <w:jc w:val="center"/>
        </w:trPr>
        <w:tc>
          <w:tcPr>
            <w:tcW w:w="3681" w:type="dxa"/>
          </w:tcPr>
          <w:p w14:paraId="53AD520C" w14:textId="77777777" w:rsidR="00A238EE" w:rsidRPr="00B40734" w:rsidRDefault="00A238EE" w:rsidP="00A238EE">
            <w:pPr>
              <w:spacing w:after="150"/>
              <w:rPr>
                <w:rFonts w:eastAsia="Times New Roman" w:cs="Arial"/>
                <w:szCs w:val="20"/>
                <w:lang w:eastAsia="en-IE"/>
              </w:rPr>
            </w:pPr>
            <w:r w:rsidRPr="00B40734">
              <w:rPr>
                <w:rFonts w:eastAsia="Times New Roman" w:cs="Arial"/>
                <w:szCs w:val="20"/>
                <w:lang w:eastAsia="en-IE"/>
              </w:rPr>
              <w:t>College Green/Church Lane</w:t>
            </w:r>
          </w:p>
        </w:tc>
        <w:tc>
          <w:tcPr>
            <w:tcW w:w="1626" w:type="dxa"/>
          </w:tcPr>
          <w:p w14:paraId="3B316BEE" w14:textId="6670C42D" w:rsidR="00A238EE" w:rsidRPr="001F0857" w:rsidRDefault="00A238EE" w:rsidP="00A238EE">
            <w:pPr>
              <w:spacing w:after="150"/>
              <w:rPr>
                <w:rFonts w:eastAsia="Times New Roman" w:cs="Arial"/>
                <w:szCs w:val="20"/>
                <w:lang w:eastAsia="en-IE"/>
              </w:rPr>
            </w:pPr>
            <w:r w:rsidRPr="001F0857">
              <w:rPr>
                <w:rFonts w:eastAsia="Times New Roman" w:cs="Arial"/>
                <w:szCs w:val="20"/>
                <w:lang w:eastAsia="en-IE"/>
              </w:rPr>
              <w:t>1</w:t>
            </w:r>
            <w:r w:rsidR="00932CF8">
              <w:rPr>
                <w:rFonts w:eastAsia="Times New Roman" w:cs="Arial"/>
                <w:szCs w:val="20"/>
                <w:lang w:eastAsia="en-IE"/>
              </w:rPr>
              <w:t>,</w:t>
            </w:r>
            <w:r w:rsidRPr="001F0857">
              <w:rPr>
                <w:rFonts w:eastAsia="Times New Roman" w:cs="Arial"/>
                <w:szCs w:val="20"/>
                <w:lang w:eastAsia="en-IE"/>
              </w:rPr>
              <w:t>024</w:t>
            </w:r>
          </w:p>
        </w:tc>
        <w:tc>
          <w:tcPr>
            <w:tcW w:w="1559" w:type="dxa"/>
          </w:tcPr>
          <w:p w14:paraId="72064D91" w14:textId="468CCD43" w:rsidR="00A238EE" w:rsidRPr="001F0857" w:rsidRDefault="00A238EE" w:rsidP="00A238EE">
            <w:pPr>
              <w:spacing w:after="150"/>
              <w:rPr>
                <w:rFonts w:eastAsia="Times New Roman" w:cs="Arial"/>
                <w:szCs w:val="20"/>
                <w:lang w:eastAsia="en-IE"/>
              </w:rPr>
            </w:pPr>
            <w:r w:rsidRPr="001F0857">
              <w:rPr>
                <w:rFonts w:eastAsia="Times New Roman" w:cs="Arial"/>
                <w:szCs w:val="20"/>
                <w:lang w:eastAsia="en-IE"/>
              </w:rPr>
              <w:t>1</w:t>
            </w:r>
            <w:r w:rsidR="00932CF8">
              <w:rPr>
                <w:rFonts w:eastAsia="Times New Roman" w:cs="Arial"/>
                <w:szCs w:val="20"/>
                <w:lang w:eastAsia="en-IE"/>
              </w:rPr>
              <w:t>,</w:t>
            </w:r>
            <w:r w:rsidRPr="001F0857">
              <w:rPr>
                <w:rFonts w:eastAsia="Times New Roman" w:cs="Arial"/>
                <w:szCs w:val="20"/>
                <w:lang w:eastAsia="en-IE"/>
              </w:rPr>
              <w:t>442</w:t>
            </w:r>
          </w:p>
        </w:tc>
      </w:tr>
      <w:tr w:rsidR="00A238EE" w:rsidRPr="00B40734" w14:paraId="13F70E51" w14:textId="77777777" w:rsidTr="00A238EE">
        <w:trPr>
          <w:cantSplit/>
          <w:jc w:val="center"/>
        </w:trPr>
        <w:tc>
          <w:tcPr>
            <w:tcW w:w="3681" w:type="dxa"/>
          </w:tcPr>
          <w:p w14:paraId="3FD7690A" w14:textId="77777777" w:rsidR="00A238EE" w:rsidRPr="00B40734" w:rsidRDefault="00A238EE" w:rsidP="00A238EE">
            <w:pPr>
              <w:spacing w:after="150"/>
              <w:rPr>
                <w:rFonts w:eastAsia="Times New Roman" w:cs="Arial"/>
                <w:szCs w:val="20"/>
                <w:lang w:eastAsia="en-IE"/>
              </w:rPr>
            </w:pPr>
            <w:r w:rsidRPr="00B40734">
              <w:rPr>
                <w:rFonts w:eastAsia="Times New Roman" w:cs="Arial"/>
                <w:szCs w:val="20"/>
                <w:lang w:eastAsia="en-IE"/>
              </w:rPr>
              <w:t>Grafton Street/Monsoon</w:t>
            </w:r>
          </w:p>
        </w:tc>
        <w:tc>
          <w:tcPr>
            <w:tcW w:w="1626" w:type="dxa"/>
          </w:tcPr>
          <w:p w14:paraId="45E57960" w14:textId="0F22D688" w:rsidR="00A238EE" w:rsidRPr="001F0857" w:rsidRDefault="00A238EE" w:rsidP="00A238EE">
            <w:pPr>
              <w:spacing w:after="150"/>
              <w:rPr>
                <w:rFonts w:eastAsia="Times New Roman" w:cs="Arial"/>
                <w:szCs w:val="20"/>
                <w:lang w:eastAsia="en-IE"/>
              </w:rPr>
            </w:pPr>
            <w:r w:rsidRPr="001F0857">
              <w:rPr>
                <w:rFonts w:eastAsia="Times New Roman" w:cs="Arial"/>
                <w:szCs w:val="20"/>
                <w:lang w:eastAsia="en-IE"/>
              </w:rPr>
              <w:t>1</w:t>
            </w:r>
            <w:r w:rsidR="00932CF8">
              <w:rPr>
                <w:rFonts w:eastAsia="Times New Roman" w:cs="Arial"/>
                <w:szCs w:val="20"/>
                <w:lang w:eastAsia="en-IE"/>
              </w:rPr>
              <w:t>,</w:t>
            </w:r>
            <w:r w:rsidRPr="001F0857">
              <w:rPr>
                <w:rFonts w:eastAsia="Times New Roman" w:cs="Arial"/>
                <w:szCs w:val="20"/>
                <w:lang w:eastAsia="en-IE"/>
              </w:rPr>
              <w:t>520</w:t>
            </w:r>
          </w:p>
        </w:tc>
        <w:tc>
          <w:tcPr>
            <w:tcW w:w="1559" w:type="dxa"/>
          </w:tcPr>
          <w:p w14:paraId="0F6E426D" w14:textId="22AB637A" w:rsidR="00A238EE" w:rsidRPr="001F0857" w:rsidRDefault="00A238EE" w:rsidP="00A238EE">
            <w:pPr>
              <w:spacing w:after="150"/>
              <w:rPr>
                <w:rFonts w:eastAsia="Times New Roman" w:cs="Arial"/>
                <w:szCs w:val="20"/>
                <w:lang w:eastAsia="en-IE"/>
              </w:rPr>
            </w:pPr>
            <w:r w:rsidRPr="001F0857">
              <w:rPr>
                <w:rFonts w:eastAsia="Times New Roman" w:cs="Arial"/>
                <w:szCs w:val="20"/>
                <w:lang w:eastAsia="en-IE"/>
              </w:rPr>
              <w:t>2</w:t>
            </w:r>
            <w:r w:rsidR="00932CF8">
              <w:rPr>
                <w:rFonts w:eastAsia="Times New Roman" w:cs="Arial"/>
                <w:szCs w:val="20"/>
                <w:lang w:eastAsia="en-IE"/>
              </w:rPr>
              <w:t>,</w:t>
            </w:r>
            <w:r w:rsidRPr="001F0857">
              <w:rPr>
                <w:rFonts w:eastAsia="Times New Roman" w:cs="Arial"/>
                <w:szCs w:val="20"/>
                <w:lang w:eastAsia="en-IE"/>
              </w:rPr>
              <w:t>915</w:t>
            </w:r>
          </w:p>
        </w:tc>
      </w:tr>
      <w:tr w:rsidR="00A238EE" w:rsidRPr="00B40734" w14:paraId="6558A78F" w14:textId="77777777" w:rsidTr="00A238EE">
        <w:trPr>
          <w:cantSplit/>
          <w:jc w:val="center"/>
        </w:trPr>
        <w:tc>
          <w:tcPr>
            <w:tcW w:w="3681" w:type="dxa"/>
          </w:tcPr>
          <w:p w14:paraId="07ECEE2E" w14:textId="77777777" w:rsidR="00A238EE" w:rsidRPr="00B40734" w:rsidRDefault="00A238EE" w:rsidP="00A238EE">
            <w:pPr>
              <w:spacing w:after="150"/>
              <w:rPr>
                <w:rFonts w:eastAsia="Times New Roman" w:cs="Arial"/>
                <w:szCs w:val="20"/>
                <w:lang w:eastAsia="en-IE"/>
              </w:rPr>
            </w:pPr>
            <w:r w:rsidRPr="00B40734">
              <w:rPr>
                <w:rFonts w:eastAsia="Times New Roman" w:cs="Arial"/>
                <w:szCs w:val="20"/>
                <w:lang w:eastAsia="en-IE"/>
              </w:rPr>
              <w:t>O Connell Street/Princes Street Nth</w:t>
            </w:r>
          </w:p>
        </w:tc>
        <w:tc>
          <w:tcPr>
            <w:tcW w:w="1626" w:type="dxa"/>
          </w:tcPr>
          <w:p w14:paraId="277A0965" w14:textId="77777777" w:rsidR="00A238EE" w:rsidRPr="001F0857" w:rsidRDefault="00A238EE" w:rsidP="00A238EE">
            <w:pPr>
              <w:spacing w:after="150"/>
              <w:rPr>
                <w:rFonts w:eastAsia="Times New Roman" w:cs="Arial"/>
                <w:szCs w:val="20"/>
                <w:lang w:eastAsia="en-IE"/>
              </w:rPr>
            </w:pPr>
            <w:r w:rsidRPr="001F0857">
              <w:rPr>
                <w:rFonts w:eastAsia="Times New Roman" w:cs="Arial"/>
                <w:szCs w:val="20"/>
                <w:lang w:eastAsia="en-IE"/>
              </w:rPr>
              <w:t>833</w:t>
            </w:r>
          </w:p>
        </w:tc>
        <w:tc>
          <w:tcPr>
            <w:tcW w:w="1559" w:type="dxa"/>
          </w:tcPr>
          <w:p w14:paraId="0FC72164" w14:textId="5FC3886A" w:rsidR="00A238EE" w:rsidRPr="000A0AAA" w:rsidRDefault="00A238EE" w:rsidP="00471C5F">
            <w:pPr>
              <w:spacing w:after="150"/>
              <w:jc w:val="left"/>
              <w:rPr>
                <w:rFonts w:eastAsia="Times New Roman" w:cs="Arial"/>
                <w:i/>
                <w:iCs/>
                <w:lang w:eastAsia="en-IE"/>
              </w:rPr>
            </w:pPr>
            <w:r w:rsidRPr="000A0AAA">
              <w:rPr>
                <w:rFonts w:eastAsia="Times New Roman" w:cs="Arial"/>
                <w:i/>
                <w:iCs/>
                <w:lang w:eastAsia="en-IE"/>
              </w:rPr>
              <w:t>No Figure</w:t>
            </w:r>
            <w:r w:rsidR="00471C5F" w:rsidRPr="000A0AAA">
              <w:rPr>
                <w:rFonts w:eastAsia="Times New Roman" w:cs="Arial"/>
                <w:i/>
                <w:iCs/>
                <w:lang w:eastAsia="en-IE"/>
              </w:rPr>
              <w:t xml:space="preserve"> available</w:t>
            </w:r>
          </w:p>
        </w:tc>
      </w:tr>
      <w:tr w:rsidR="00A238EE" w:rsidRPr="00B40734" w14:paraId="0C05610D" w14:textId="77777777" w:rsidTr="00A238EE">
        <w:trPr>
          <w:cantSplit/>
          <w:jc w:val="center"/>
        </w:trPr>
        <w:tc>
          <w:tcPr>
            <w:tcW w:w="3681" w:type="dxa"/>
          </w:tcPr>
          <w:p w14:paraId="1520F590" w14:textId="3944E355" w:rsidR="00A238EE" w:rsidRPr="00B40734" w:rsidRDefault="00A238EE" w:rsidP="00A238EE">
            <w:pPr>
              <w:spacing w:after="150"/>
              <w:rPr>
                <w:rFonts w:eastAsia="Times New Roman" w:cs="Arial"/>
                <w:szCs w:val="20"/>
                <w:lang w:eastAsia="en-IE"/>
              </w:rPr>
            </w:pPr>
            <w:r w:rsidRPr="00B40734">
              <w:rPr>
                <w:rFonts w:eastAsia="Times New Roman" w:cs="Arial"/>
                <w:szCs w:val="20"/>
                <w:lang w:eastAsia="en-IE"/>
              </w:rPr>
              <w:t xml:space="preserve">Westmoreland Street </w:t>
            </w:r>
            <w:r w:rsidR="00E104FD">
              <w:rPr>
                <w:rFonts w:eastAsia="Times New Roman" w:cs="Arial"/>
                <w:szCs w:val="20"/>
                <w:lang w:eastAsia="en-IE"/>
              </w:rPr>
              <w:t>We</w:t>
            </w:r>
            <w:r w:rsidRPr="00B40734">
              <w:rPr>
                <w:rFonts w:eastAsia="Times New Roman" w:cs="Arial"/>
                <w:szCs w:val="20"/>
                <w:lang w:eastAsia="en-IE"/>
              </w:rPr>
              <w:t>st/</w:t>
            </w:r>
            <w:r w:rsidR="00E104FD">
              <w:rPr>
                <w:rFonts w:eastAsia="Times New Roman" w:cs="Arial"/>
                <w:szCs w:val="20"/>
                <w:lang w:eastAsia="en-IE"/>
              </w:rPr>
              <w:t xml:space="preserve"> Carrolls</w:t>
            </w:r>
          </w:p>
        </w:tc>
        <w:tc>
          <w:tcPr>
            <w:tcW w:w="1626" w:type="dxa"/>
          </w:tcPr>
          <w:p w14:paraId="2C795C45" w14:textId="64A7D55B" w:rsidR="00A238EE" w:rsidRPr="001F0857" w:rsidRDefault="00E104FD" w:rsidP="00A238EE">
            <w:pPr>
              <w:spacing w:after="150"/>
              <w:rPr>
                <w:rFonts w:eastAsia="Times New Roman" w:cs="Arial"/>
                <w:szCs w:val="20"/>
                <w:lang w:eastAsia="en-IE"/>
              </w:rPr>
            </w:pPr>
            <w:r>
              <w:rPr>
                <w:rFonts w:eastAsia="Times New Roman" w:cs="Arial"/>
                <w:szCs w:val="20"/>
                <w:lang w:eastAsia="en-IE"/>
              </w:rPr>
              <w:t>279</w:t>
            </w:r>
          </w:p>
        </w:tc>
        <w:tc>
          <w:tcPr>
            <w:tcW w:w="1559" w:type="dxa"/>
          </w:tcPr>
          <w:p w14:paraId="46D59D6E" w14:textId="60662CDF" w:rsidR="00A238EE" w:rsidRPr="000A0AAA" w:rsidRDefault="00E104FD" w:rsidP="00A238EE">
            <w:pPr>
              <w:spacing w:after="150"/>
              <w:rPr>
                <w:rFonts w:eastAsia="Times New Roman" w:cs="Arial"/>
                <w:lang w:eastAsia="en-IE"/>
              </w:rPr>
            </w:pPr>
            <w:r w:rsidRPr="000A0AAA">
              <w:rPr>
                <w:rFonts w:eastAsia="Times New Roman" w:cs="Arial"/>
                <w:lang w:eastAsia="en-IE"/>
              </w:rPr>
              <w:t>943</w:t>
            </w:r>
          </w:p>
        </w:tc>
      </w:tr>
      <w:tr w:rsidR="00A238EE" w:rsidRPr="00B40734" w14:paraId="58D46C21" w14:textId="77777777" w:rsidTr="00A238EE">
        <w:trPr>
          <w:cantSplit/>
          <w:jc w:val="center"/>
        </w:trPr>
        <w:tc>
          <w:tcPr>
            <w:tcW w:w="3681" w:type="dxa"/>
          </w:tcPr>
          <w:p w14:paraId="4568EC44" w14:textId="77777777" w:rsidR="00A238EE" w:rsidRPr="00B40734" w:rsidRDefault="00A238EE" w:rsidP="00A238EE">
            <w:pPr>
              <w:spacing w:after="150"/>
              <w:rPr>
                <w:rFonts w:eastAsia="Times New Roman" w:cs="Arial"/>
                <w:szCs w:val="20"/>
                <w:lang w:eastAsia="en-IE"/>
              </w:rPr>
            </w:pPr>
            <w:proofErr w:type="spellStart"/>
            <w:r w:rsidRPr="00B40734">
              <w:rPr>
                <w:rFonts w:eastAsia="Times New Roman" w:cs="Arial"/>
                <w:szCs w:val="20"/>
                <w:lang w:eastAsia="en-IE"/>
              </w:rPr>
              <w:t>D’Olier</w:t>
            </w:r>
            <w:proofErr w:type="spellEnd"/>
            <w:r w:rsidRPr="00B40734">
              <w:rPr>
                <w:rFonts w:eastAsia="Times New Roman" w:cs="Arial"/>
                <w:szCs w:val="20"/>
                <w:lang w:eastAsia="en-IE"/>
              </w:rPr>
              <w:t xml:space="preserve"> St/Burgh Quay</w:t>
            </w:r>
          </w:p>
        </w:tc>
        <w:tc>
          <w:tcPr>
            <w:tcW w:w="1626" w:type="dxa"/>
          </w:tcPr>
          <w:p w14:paraId="653CBD8C" w14:textId="2413F485" w:rsidR="00A238EE" w:rsidRPr="001F0857" w:rsidRDefault="00A238EE" w:rsidP="00A238EE">
            <w:pPr>
              <w:spacing w:after="150"/>
              <w:rPr>
                <w:rFonts w:eastAsia="Times New Roman" w:cs="Arial"/>
                <w:szCs w:val="20"/>
                <w:lang w:eastAsia="en-IE"/>
              </w:rPr>
            </w:pPr>
            <w:r w:rsidRPr="001F0857">
              <w:rPr>
                <w:rFonts w:eastAsia="Times New Roman" w:cs="Arial"/>
                <w:szCs w:val="20"/>
                <w:lang w:eastAsia="en-IE"/>
              </w:rPr>
              <w:t>1</w:t>
            </w:r>
            <w:r w:rsidR="00932CF8">
              <w:rPr>
                <w:rFonts w:eastAsia="Times New Roman" w:cs="Arial"/>
                <w:szCs w:val="20"/>
                <w:lang w:eastAsia="en-IE"/>
              </w:rPr>
              <w:t>,</w:t>
            </w:r>
            <w:r w:rsidRPr="001F0857">
              <w:rPr>
                <w:rFonts w:eastAsia="Times New Roman" w:cs="Arial"/>
                <w:szCs w:val="20"/>
                <w:lang w:eastAsia="en-IE"/>
              </w:rPr>
              <w:t>326</w:t>
            </w:r>
          </w:p>
        </w:tc>
        <w:tc>
          <w:tcPr>
            <w:tcW w:w="1559" w:type="dxa"/>
          </w:tcPr>
          <w:p w14:paraId="6640A3AF" w14:textId="45BAB98C" w:rsidR="00A238EE" w:rsidRPr="000A0AAA" w:rsidRDefault="00A238EE" w:rsidP="00471C5F">
            <w:pPr>
              <w:spacing w:after="150"/>
              <w:jc w:val="left"/>
              <w:rPr>
                <w:rFonts w:eastAsia="Times New Roman" w:cs="Arial"/>
                <w:i/>
                <w:iCs/>
                <w:lang w:eastAsia="en-IE"/>
              </w:rPr>
            </w:pPr>
            <w:r w:rsidRPr="000A0AAA">
              <w:rPr>
                <w:rFonts w:eastAsia="Times New Roman" w:cs="Arial"/>
                <w:i/>
                <w:iCs/>
                <w:lang w:eastAsia="en-IE"/>
              </w:rPr>
              <w:t>No Figure</w:t>
            </w:r>
            <w:r w:rsidR="00471C5F" w:rsidRPr="000A0AAA">
              <w:rPr>
                <w:rFonts w:eastAsia="Times New Roman" w:cs="Arial"/>
                <w:i/>
                <w:iCs/>
                <w:lang w:eastAsia="en-IE"/>
              </w:rPr>
              <w:t xml:space="preserve"> available</w:t>
            </w:r>
          </w:p>
        </w:tc>
      </w:tr>
    </w:tbl>
    <w:p w14:paraId="68451BFB" w14:textId="77777777" w:rsidR="00A238EE" w:rsidRPr="00B40734" w:rsidRDefault="00A238EE" w:rsidP="00A238EE">
      <w:pPr>
        <w:keepNext/>
        <w:spacing w:after="200" w:line="276" w:lineRule="auto"/>
        <w:contextualSpacing/>
        <w:rPr>
          <w:rFonts w:cs="Arial"/>
          <w:i/>
        </w:rPr>
      </w:pPr>
      <w:r w:rsidRPr="00B40734">
        <w:rPr>
          <w:rFonts w:cs="Arial"/>
          <w:i/>
        </w:rPr>
        <w:t xml:space="preserve"> </w:t>
      </w:r>
    </w:p>
    <w:p w14:paraId="3E4F5EE6" w14:textId="77777777" w:rsidR="00A238EE" w:rsidRPr="00B40734" w:rsidRDefault="00A238EE" w:rsidP="00A238EE">
      <w:pPr>
        <w:numPr>
          <w:ilvl w:val="0"/>
          <w:numId w:val="9"/>
        </w:numPr>
        <w:spacing w:after="160"/>
      </w:pPr>
      <w:r w:rsidRPr="00B40734">
        <w:t>Shared Public Mobility Schemes; annual number of trips.</w:t>
      </w:r>
    </w:p>
    <w:p w14:paraId="28A2145B" w14:textId="08857021" w:rsidR="00C6446E" w:rsidRPr="00C6446E" w:rsidRDefault="00B5589B" w:rsidP="00C6446E">
      <w:bookmarkStart w:id="41" w:name="_Hlk205456704"/>
      <w:r>
        <w:rPr>
          <w:lang w:val="en"/>
        </w:rPr>
        <w:t xml:space="preserve">The </w:t>
      </w:r>
      <w:proofErr w:type="spellStart"/>
      <w:r w:rsidR="00693E96" w:rsidRPr="00693E96">
        <w:t>dublinbikes</w:t>
      </w:r>
      <w:proofErr w:type="spellEnd"/>
      <w:r w:rsidR="00693E96" w:rsidRPr="00693E96">
        <w:t xml:space="preserve"> </w:t>
      </w:r>
      <w:r w:rsidR="00347810">
        <w:t>b</w:t>
      </w:r>
      <w:r w:rsidR="00693E96" w:rsidRPr="00693E96">
        <w:t xml:space="preserve">icycle sharing scheme </w:t>
      </w:r>
      <w:r w:rsidR="00693E96">
        <w:t>had 1,977,582 journeys</w:t>
      </w:r>
      <w:r w:rsidR="00693E96" w:rsidRPr="00693E96">
        <w:t xml:space="preserve"> </w:t>
      </w:r>
      <w:r w:rsidR="00C6446E">
        <w:t>in</w:t>
      </w:r>
      <w:r w:rsidR="00693E96" w:rsidRPr="00693E96">
        <w:t xml:space="preserve"> 2024</w:t>
      </w:r>
      <w:r w:rsidR="00347810">
        <w:t>,</w:t>
      </w:r>
      <w:r w:rsidR="009E7F85">
        <w:t xml:space="preserve"> a decline of 2.7% in the no. of journeys from 2023</w:t>
      </w:r>
      <w:r w:rsidR="00347810">
        <w:t xml:space="preserve"> (</w:t>
      </w:r>
      <w:r w:rsidR="00347810" w:rsidRPr="0044763E">
        <w:rPr>
          <w:lang w:val="en"/>
        </w:rPr>
        <w:t xml:space="preserve">2,034,075 </w:t>
      </w:r>
      <w:r w:rsidR="00347810" w:rsidRPr="0044763E">
        <w:rPr>
          <w:lang w:val="en"/>
        </w:rPr>
        <w:t>journeys</w:t>
      </w:r>
      <w:r w:rsidR="00347810">
        <w:rPr>
          <w:lang w:val="en"/>
        </w:rPr>
        <w:t>)</w:t>
      </w:r>
      <w:r>
        <w:rPr>
          <w:lang w:val="en"/>
        </w:rPr>
        <w:t>.</w:t>
      </w:r>
      <w:r w:rsidR="00C6446E">
        <w:rPr>
          <w:lang w:val="en"/>
        </w:rPr>
        <w:t xml:space="preserve"> Source: </w:t>
      </w:r>
      <w:r w:rsidR="00C6446E" w:rsidRPr="00C6446E">
        <w:t xml:space="preserve">Environment &amp; Transportation Department </w:t>
      </w:r>
      <w:r w:rsidR="00347810">
        <w:t xml:space="preserve">of </w:t>
      </w:r>
      <w:r w:rsidR="00C6446E" w:rsidRPr="00C6446E">
        <w:t>Dublin City Council</w:t>
      </w:r>
      <w:r w:rsidR="00347810">
        <w:t>/ JCDecaux.</w:t>
      </w:r>
    </w:p>
    <w:bookmarkEnd w:id="41"/>
    <w:p w14:paraId="58AE8D2C" w14:textId="6CF3A732" w:rsidR="0044763E" w:rsidRPr="001F0857" w:rsidRDefault="0044763E" w:rsidP="00A238EE"/>
    <w:p w14:paraId="42584D09" w14:textId="77777777" w:rsidR="00A238EE" w:rsidRDefault="00A238EE" w:rsidP="00A238EE">
      <w:pPr>
        <w:spacing w:after="160"/>
        <w:rPr>
          <w:b/>
          <w:lang w:eastAsia="en-IE"/>
        </w:rPr>
      </w:pPr>
    </w:p>
    <w:p w14:paraId="5090321A" w14:textId="77777777" w:rsidR="00A238EE" w:rsidRPr="00B40734" w:rsidRDefault="00A238EE" w:rsidP="00A238EE">
      <w:pPr>
        <w:pStyle w:val="Heading3"/>
        <w:numPr>
          <w:ilvl w:val="0"/>
          <w:numId w:val="0"/>
        </w:numPr>
        <w:ind w:left="567" w:hanging="567"/>
        <w:rPr>
          <w:rFonts w:eastAsia="Times"/>
          <w:lang w:val="en-GB" w:eastAsia="en-IE"/>
        </w:rPr>
      </w:pPr>
      <w:r w:rsidRPr="00B40734">
        <w:rPr>
          <w:rFonts w:eastAsia="Times"/>
          <w:lang w:val="en-GB" w:eastAsia="en-IE"/>
        </w:rPr>
        <w:t>Indicator 6: Tourism and Visitors</w:t>
      </w:r>
    </w:p>
    <w:p w14:paraId="46DEF57F" w14:textId="77777777" w:rsidR="00A238EE" w:rsidRPr="00B40734" w:rsidRDefault="00A238EE" w:rsidP="00A238EE">
      <w:pPr>
        <w:rPr>
          <w:lang w:val="en-GB" w:eastAsia="en-IE"/>
        </w:rPr>
      </w:pPr>
    </w:p>
    <w:p w14:paraId="727CF21C" w14:textId="77777777" w:rsidR="00A238EE" w:rsidRPr="00B40734" w:rsidRDefault="00A238EE" w:rsidP="00A238EE">
      <w:pPr>
        <w:numPr>
          <w:ilvl w:val="0"/>
          <w:numId w:val="10"/>
        </w:numPr>
        <w:spacing w:after="160"/>
      </w:pPr>
      <w:r w:rsidRPr="00B40734">
        <w:t>Overseas visitors figures.</w:t>
      </w:r>
    </w:p>
    <w:p w14:paraId="67557257" w14:textId="3941CE06" w:rsidR="001D12D7" w:rsidRPr="001D12D7" w:rsidRDefault="00A238EE" w:rsidP="001D12D7">
      <w:pPr>
        <w:rPr>
          <w:rFonts w:cs="Arial"/>
        </w:rPr>
      </w:pPr>
      <w:r w:rsidRPr="00B40734">
        <w:rPr>
          <w:rFonts w:cs="Arial"/>
        </w:rPr>
        <w:t xml:space="preserve">Air and sea passenger arrivals in Ireland; </w:t>
      </w:r>
      <w:r w:rsidR="001D12D7" w:rsidRPr="001D12D7">
        <w:rPr>
          <w:rFonts w:cs="Arial"/>
        </w:rPr>
        <w:t>Some 622,300 foreign visitors completed a trip to Ireland in May 2024, an increase of 8.5% compared with May 2023.</w:t>
      </w:r>
      <w:r w:rsidR="001D12D7">
        <w:rPr>
          <w:rFonts w:cs="Arial"/>
        </w:rPr>
        <w:t xml:space="preserve"> </w:t>
      </w:r>
      <w:bookmarkStart w:id="42" w:name="_Hlk205456797"/>
      <w:r w:rsidR="001D12D7" w:rsidRPr="00B40734">
        <w:rPr>
          <w:rFonts w:cs="Arial"/>
        </w:rPr>
        <w:t>(Source</w:t>
      </w:r>
      <w:r w:rsidR="001D12D7">
        <w:rPr>
          <w:rFonts w:cs="Arial"/>
        </w:rPr>
        <w:t>:</w:t>
      </w:r>
      <w:r w:rsidR="001D12D7" w:rsidRPr="00B40734">
        <w:rPr>
          <w:rFonts w:cs="Arial"/>
        </w:rPr>
        <w:t xml:space="preserve"> cso.ie</w:t>
      </w:r>
      <w:r w:rsidR="001D12D7">
        <w:rPr>
          <w:rFonts w:cs="Arial"/>
        </w:rPr>
        <w:t xml:space="preserve"> </w:t>
      </w:r>
      <w:hyperlink r:id="rId12" w:history="1">
        <w:r w:rsidR="001D12D7" w:rsidRPr="001D12D7">
          <w:rPr>
            <w:rStyle w:val="Hyperlink"/>
            <w:rFonts w:cs="Arial"/>
          </w:rPr>
          <w:t>Inbound Tourism May 2024 - Central Statistics Office</w:t>
        </w:r>
      </w:hyperlink>
      <w:r w:rsidR="001D12D7">
        <w:rPr>
          <w:rFonts w:cs="Arial"/>
        </w:rPr>
        <w:t>)</w:t>
      </w:r>
    </w:p>
    <w:bookmarkEnd w:id="42"/>
    <w:p w14:paraId="3E61085E" w14:textId="65D26267" w:rsidR="00A238EE" w:rsidRPr="00B40734" w:rsidRDefault="00A238EE" w:rsidP="00A238EE">
      <w:pPr>
        <w:rPr>
          <w:rFonts w:cs="Arial"/>
        </w:rPr>
      </w:pPr>
      <w:r w:rsidRPr="00B40734">
        <w:rPr>
          <w:rFonts w:cs="Arial"/>
        </w:rPr>
        <w:t xml:space="preserve">Figures specific to Dublin City could not be sourced for 2024, although over </w:t>
      </w:r>
      <w:r w:rsidR="00A75E83">
        <w:rPr>
          <w:rFonts w:cs="Arial"/>
        </w:rPr>
        <w:t>8</w:t>
      </w:r>
      <w:r w:rsidR="00FD7238" w:rsidRPr="00FD7238">
        <w:rPr>
          <w:rFonts w:cs="Arial"/>
        </w:rPr>
        <w:t xml:space="preserve"> million</w:t>
      </w:r>
      <w:r w:rsidRPr="00B40734">
        <w:rPr>
          <w:rFonts w:cs="Arial"/>
        </w:rPr>
        <w:t xml:space="preserve"> visitors came to Dublin in 2019 </w:t>
      </w:r>
      <w:r w:rsidR="009D10B7">
        <w:rPr>
          <w:rFonts w:cs="Arial"/>
        </w:rPr>
        <w:t>(</w:t>
      </w:r>
      <w:r w:rsidR="00A75E83">
        <w:rPr>
          <w:rFonts w:cs="Arial"/>
        </w:rPr>
        <w:t>EU figure</w:t>
      </w:r>
      <w:r w:rsidR="009D10B7">
        <w:rPr>
          <w:rFonts w:cs="Arial"/>
        </w:rPr>
        <w:t>)</w:t>
      </w:r>
      <w:r w:rsidR="00A75E83">
        <w:rPr>
          <w:rFonts w:cs="Arial"/>
        </w:rPr>
        <w:t>.</w:t>
      </w:r>
      <w:r w:rsidR="00792621" w:rsidRPr="00792621">
        <w:rPr>
          <w:rFonts w:cs="Arial"/>
          <w:lang w:val="en"/>
        </w:rPr>
        <w:t xml:space="preserve"> </w:t>
      </w:r>
    </w:p>
    <w:p w14:paraId="2B8AE314" w14:textId="77777777" w:rsidR="00A238EE" w:rsidRPr="00B40734" w:rsidRDefault="00A238EE" w:rsidP="00A238EE">
      <w:pPr>
        <w:rPr>
          <w:rFonts w:cs="Arial"/>
        </w:rPr>
      </w:pPr>
    </w:p>
    <w:p w14:paraId="0A364372" w14:textId="77777777" w:rsidR="00A238EE" w:rsidRPr="00B40734" w:rsidRDefault="00A238EE" w:rsidP="00A238EE">
      <w:pPr>
        <w:numPr>
          <w:ilvl w:val="0"/>
          <w:numId w:val="10"/>
        </w:numPr>
        <w:spacing w:after="160"/>
        <w:rPr>
          <w:rFonts w:eastAsia="Times New Roman"/>
          <w:bCs/>
          <w:lang w:eastAsia="en-IE"/>
        </w:rPr>
      </w:pPr>
      <w:r w:rsidRPr="00B40734">
        <w:t>Hotel room occupancy levels.</w:t>
      </w:r>
    </w:p>
    <w:p w14:paraId="5EC62356" w14:textId="2D617D44" w:rsidR="00A238EE" w:rsidRPr="00925D85" w:rsidRDefault="00A238EE" w:rsidP="00A238EE">
      <w:pPr>
        <w:rPr>
          <w:rFonts w:cs="Arial"/>
        </w:rPr>
      </w:pPr>
      <w:bookmarkStart w:id="43" w:name="_Hlk205457389"/>
      <w:r w:rsidRPr="00925D85">
        <w:rPr>
          <w:rFonts w:cs="Arial"/>
        </w:rPr>
        <w:t>Occupancy rate of 68% of total rooms in Dec</w:t>
      </w:r>
      <w:r w:rsidR="00F9482F">
        <w:rPr>
          <w:rFonts w:cs="Arial"/>
        </w:rPr>
        <w:t>ember</w:t>
      </w:r>
      <w:r w:rsidRPr="00925D85">
        <w:rPr>
          <w:rFonts w:cs="Arial"/>
        </w:rPr>
        <w:t xml:space="preserve"> </w:t>
      </w:r>
      <w:r w:rsidR="00F13051">
        <w:rPr>
          <w:rFonts w:cs="Arial"/>
        </w:rPr>
        <w:t>20</w:t>
      </w:r>
      <w:r w:rsidRPr="00925D85">
        <w:rPr>
          <w:rFonts w:cs="Arial"/>
        </w:rPr>
        <w:t>24 across the 4 Dublin Authorities (Source: Bord Failte Ireland Hotel Survey Dec</w:t>
      </w:r>
      <w:r w:rsidR="00D85B17">
        <w:rPr>
          <w:rFonts w:cs="Arial"/>
        </w:rPr>
        <w:t>.</w:t>
      </w:r>
      <w:r w:rsidRPr="00925D85">
        <w:rPr>
          <w:rFonts w:cs="Arial"/>
        </w:rPr>
        <w:t xml:space="preserve"> 2024). </w:t>
      </w:r>
      <w:bookmarkEnd w:id="43"/>
      <w:r w:rsidRPr="00925D85">
        <w:rPr>
          <w:rFonts w:cs="Arial"/>
        </w:rPr>
        <w:t>This marked a 1%</w:t>
      </w:r>
      <w:r w:rsidR="001F0857" w:rsidRPr="00925D85">
        <w:rPr>
          <w:rFonts w:cs="Arial"/>
        </w:rPr>
        <w:t xml:space="preserve"> increase over 12 months.</w:t>
      </w:r>
      <w:r w:rsidRPr="00925D85">
        <w:rPr>
          <w:rFonts w:cs="Arial"/>
        </w:rPr>
        <w:t xml:space="preserve"> </w:t>
      </w:r>
    </w:p>
    <w:p w14:paraId="7246798C" w14:textId="77777777" w:rsidR="00A238EE" w:rsidRPr="00B40734" w:rsidRDefault="00A238EE" w:rsidP="00A238EE">
      <w:pPr>
        <w:rPr>
          <w:rFonts w:cs="Arial"/>
        </w:rPr>
      </w:pPr>
    </w:p>
    <w:p w14:paraId="14B1F1DD" w14:textId="77777777" w:rsidR="00A238EE" w:rsidRPr="00B40734" w:rsidRDefault="00A238EE" w:rsidP="00A238EE">
      <w:pPr>
        <w:pStyle w:val="Heading3"/>
        <w:numPr>
          <w:ilvl w:val="0"/>
          <w:numId w:val="0"/>
        </w:numPr>
        <w:ind w:left="567" w:hanging="567"/>
        <w:rPr>
          <w:rFonts w:eastAsia="Times"/>
          <w:lang w:val="en-GB" w:eastAsia="en-IE"/>
        </w:rPr>
      </w:pPr>
    </w:p>
    <w:p w14:paraId="09986476" w14:textId="77777777" w:rsidR="00A238EE" w:rsidRDefault="00A238EE" w:rsidP="00A238EE">
      <w:pPr>
        <w:pStyle w:val="Heading3"/>
        <w:numPr>
          <w:ilvl w:val="0"/>
          <w:numId w:val="0"/>
        </w:numPr>
        <w:ind w:left="567" w:hanging="567"/>
        <w:rPr>
          <w:rFonts w:eastAsia="Times"/>
          <w:lang w:val="en-GB" w:eastAsia="en-IE"/>
        </w:rPr>
      </w:pPr>
      <w:r w:rsidRPr="00B40734">
        <w:rPr>
          <w:rFonts w:eastAsia="Times"/>
          <w:lang w:val="en-GB" w:eastAsia="en-IE"/>
        </w:rPr>
        <w:t>Indicator 7: Economic</w:t>
      </w:r>
    </w:p>
    <w:p w14:paraId="13E0681D" w14:textId="77777777" w:rsidR="00B67AD3" w:rsidRPr="00B67AD3" w:rsidRDefault="00B67AD3" w:rsidP="00B67AD3">
      <w:pPr>
        <w:rPr>
          <w:lang w:val="en-GB" w:eastAsia="en-IE"/>
        </w:rPr>
      </w:pPr>
    </w:p>
    <w:p w14:paraId="3652A6AF" w14:textId="77777777" w:rsidR="00A238EE" w:rsidRPr="00B40734" w:rsidRDefault="00A238EE" w:rsidP="00A238EE">
      <w:pPr>
        <w:numPr>
          <w:ilvl w:val="0"/>
          <w:numId w:val="7"/>
        </w:numPr>
        <w:spacing w:after="160"/>
      </w:pPr>
      <w:r w:rsidRPr="00B40734">
        <w:t>Seaport cargo figures.</w:t>
      </w:r>
    </w:p>
    <w:p w14:paraId="1BD15AAC" w14:textId="5401C40B" w:rsidR="00A238EE" w:rsidRPr="00925D85" w:rsidRDefault="00A238EE" w:rsidP="00A238EE">
      <w:pPr>
        <w:spacing w:before="60" w:after="60" w:line="276" w:lineRule="auto"/>
        <w:rPr>
          <w:rFonts w:cs="Arial"/>
        </w:rPr>
      </w:pPr>
      <w:r w:rsidRPr="00B40734">
        <w:rPr>
          <w:rFonts w:cs="Arial"/>
        </w:rPr>
        <w:t xml:space="preserve">Total tonnage of goods handled by Dublin Port in 2024: </w:t>
      </w:r>
      <w:r w:rsidRPr="00925D85">
        <w:rPr>
          <w:rFonts w:cs="Arial"/>
        </w:rPr>
        <w:t xml:space="preserve">24.87 </w:t>
      </w:r>
      <w:r w:rsidR="00C9085A">
        <w:rPr>
          <w:rFonts w:cs="Arial"/>
        </w:rPr>
        <w:t>million</w:t>
      </w:r>
      <w:r w:rsidRPr="00925D85">
        <w:rPr>
          <w:rFonts w:cs="Arial"/>
        </w:rPr>
        <w:t xml:space="preserve"> tonnes</w:t>
      </w:r>
      <w:r w:rsidR="00F13051">
        <w:rPr>
          <w:rFonts w:cs="Arial"/>
        </w:rPr>
        <w:t>, marginally above the 2023 figure of 24.67 million tonnes</w:t>
      </w:r>
      <w:r w:rsidRPr="00925D85">
        <w:rPr>
          <w:rFonts w:cs="Arial"/>
        </w:rPr>
        <w:t xml:space="preserve"> (Source: CSO.ie)</w:t>
      </w:r>
      <w:r w:rsidR="00F13051">
        <w:rPr>
          <w:rFonts w:cs="Arial"/>
        </w:rPr>
        <w:t>.</w:t>
      </w:r>
      <w:r w:rsidRPr="00925D85">
        <w:rPr>
          <w:rFonts w:cs="Arial"/>
        </w:rPr>
        <w:t xml:space="preserve"> </w:t>
      </w:r>
    </w:p>
    <w:p w14:paraId="49903CD2" w14:textId="5517A4DB" w:rsidR="00A238EE" w:rsidRPr="00B40734" w:rsidRDefault="00A238EE" w:rsidP="00A238EE">
      <w:pPr>
        <w:spacing w:before="60" w:after="60"/>
        <w:rPr>
          <w:rFonts w:cs="Arial"/>
        </w:rPr>
      </w:pPr>
    </w:p>
    <w:p w14:paraId="3D7A10F1" w14:textId="77777777" w:rsidR="00A238EE" w:rsidRPr="00B40734" w:rsidRDefault="00A238EE" w:rsidP="00A238EE">
      <w:pPr>
        <w:numPr>
          <w:ilvl w:val="0"/>
          <w:numId w:val="7"/>
        </w:numPr>
        <w:spacing w:after="160"/>
      </w:pPr>
      <w:r w:rsidRPr="00B40734">
        <w:t>KBC/ESRI Dublin overall consumer sentiment.</w:t>
      </w:r>
    </w:p>
    <w:p w14:paraId="0EE8C06D" w14:textId="21A1A654" w:rsidR="00A238EE" w:rsidRPr="00B40734" w:rsidRDefault="00D85B17" w:rsidP="00A238EE">
      <w:pPr>
        <w:spacing w:before="60" w:after="60"/>
        <w:contextualSpacing/>
        <w:rPr>
          <w:rFonts w:cs="Arial"/>
          <w:strike/>
        </w:rPr>
      </w:pPr>
      <w:r>
        <w:rPr>
          <w:rFonts w:cs="Arial"/>
        </w:rPr>
        <w:lastRenderedPageBreak/>
        <w:t xml:space="preserve">Figures not now available. </w:t>
      </w:r>
      <w:r w:rsidR="00A56745">
        <w:rPr>
          <w:rFonts w:cs="Arial"/>
        </w:rPr>
        <w:t xml:space="preserve">However, the </w:t>
      </w:r>
      <w:r w:rsidR="00A238EE" w:rsidRPr="00B40734">
        <w:rPr>
          <w:rFonts w:cs="Arial"/>
        </w:rPr>
        <w:t xml:space="preserve">Credit </w:t>
      </w:r>
      <w:r>
        <w:rPr>
          <w:rFonts w:cs="Arial"/>
        </w:rPr>
        <w:t>U</w:t>
      </w:r>
      <w:r w:rsidR="00A238EE" w:rsidRPr="00B40734">
        <w:rPr>
          <w:rFonts w:cs="Arial"/>
        </w:rPr>
        <w:t>nion consumer sentiment index</w:t>
      </w:r>
      <w:r w:rsidR="00A56745">
        <w:rPr>
          <w:rFonts w:cs="Arial"/>
        </w:rPr>
        <w:t xml:space="preserve"> was</w:t>
      </w:r>
      <w:r w:rsidR="00A238EE" w:rsidRPr="00B40734">
        <w:rPr>
          <w:rFonts w:cs="Arial"/>
        </w:rPr>
        <w:t xml:space="preserve"> </w:t>
      </w:r>
      <w:r w:rsidR="00342DB9" w:rsidRPr="00925D85">
        <w:rPr>
          <w:rFonts w:cs="Arial"/>
        </w:rPr>
        <w:t>73.</w:t>
      </w:r>
      <w:r>
        <w:rPr>
          <w:rFonts w:cs="Arial"/>
        </w:rPr>
        <w:t>9 in Dec. 2024</w:t>
      </w:r>
      <w:r w:rsidR="00A238EE" w:rsidRPr="00925D85">
        <w:rPr>
          <w:rFonts w:cs="Arial"/>
        </w:rPr>
        <w:t xml:space="preserve"> </w:t>
      </w:r>
      <w:r w:rsidR="00C00A21">
        <w:rPr>
          <w:rFonts w:cs="Arial"/>
        </w:rPr>
        <w:t xml:space="preserve">(Source: </w:t>
      </w:r>
      <w:r w:rsidR="00C00A21" w:rsidRPr="00C00A21">
        <w:rPr>
          <w:rFonts w:cs="Arial"/>
        </w:rPr>
        <w:t>www.creditunion.ie</w:t>
      </w:r>
      <w:r w:rsidR="00C00A21">
        <w:rPr>
          <w:rFonts w:cs="Arial"/>
        </w:rPr>
        <w:t>)</w:t>
      </w:r>
    </w:p>
    <w:p w14:paraId="122AC508" w14:textId="77777777" w:rsidR="00A238EE" w:rsidRPr="00B40734" w:rsidRDefault="00A238EE" w:rsidP="00A238EE">
      <w:pPr>
        <w:spacing w:before="60" w:after="60"/>
        <w:rPr>
          <w:rFonts w:cs="Arial"/>
        </w:rPr>
      </w:pPr>
      <w:r w:rsidRPr="00B40734">
        <w:rPr>
          <w:rFonts w:cs="Arial"/>
        </w:rPr>
        <w:t xml:space="preserve">   </w:t>
      </w:r>
    </w:p>
    <w:p w14:paraId="0DD57690" w14:textId="77777777" w:rsidR="00A238EE" w:rsidRPr="00B40734" w:rsidRDefault="00A238EE" w:rsidP="00A238EE">
      <w:pPr>
        <w:numPr>
          <w:ilvl w:val="0"/>
          <w:numId w:val="7"/>
        </w:numPr>
        <w:spacing w:after="160"/>
      </w:pPr>
      <w:r w:rsidRPr="00B40734">
        <w:t>MARKIT Dublin purchasing managers’ index (PMI).</w:t>
      </w:r>
    </w:p>
    <w:p w14:paraId="51321DB2" w14:textId="7CFA2E75" w:rsidR="00A238EE" w:rsidRPr="00B40734" w:rsidRDefault="00A238EE" w:rsidP="00EE161B">
      <w:pPr>
        <w:spacing w:before="60" w:after="60" w:line="240" w:lineRule="auto"/>
        <w:contextualSpacing/>
        <w:rPr>
          <w:rFonts w:cs="Arial"/>
          <w:szCs w:val="24"/>
        </w:rPr>
      </w:pPr>
      <w:r w:rsidRPr="0071641A">
        <w:rPr>
          <w:rFonts w:cs="Arial"/>
          <w:color w:val="001D35"/>
          <w:shd w:val="clear" w:color="auto" w:fill="FFFFFF"/>
        </w:rPr>
        <w:t xml:space="preserve">The S&amp;P Global Purchasing Managers' Index (PMI) for Dublin, which </w:t>
      </w:r>
      <w:bookmarkStart w:id="44" w:name="_Hlk205457623"/>
      <w:r w:rsidRPr="00120DE0">
        <w:rPr>
          <w:rFonts w:cs="Arial"/>
          <w:shd w:val="clear" w:color="auto" w:fill="FFFFFF"/>
        </w:rPr>
        <w:t>was formerly known as the IHS Markit PMI</w:t>
      </w:r>
      <w:r w:rsidRPr="00120DE0">
        <w:rPr>
          <w:rFonts w:cs="Arial"/>
          <w:szCs w:val="24"/>
        </w:rPr>
        <w:t xml:space="preserve"> </w:t>
      </w:r>
      <w:bookmarkEnd w:id="44"/>
      <w:r w:rsidRPr="00120DE0">
        <w:rPr>
          <w:rFonts w:cs="Arial"/>
          <w:szCs w:val="24"/>
        </w:rPr>
        <w:t>showed a marked expansion of business activity in the final quarter of 2024. The PMI headline rate stood at 54.7 which was up from 52.8 in Q3. The construction and services sectors in Dublin continued to drive growth</w:t>
      </w:r>
      <w:r w:rsidR="00C16B29">
        <w:rPr>
          <w:rFonts w:cs="Arial"/>
          <w:szCs w:val="24"/>
        </w:rPr>
        <w:t xml:space="preserve"> with indices of </w:t>
      </w:r>
      <w:r w:rsidR="00C16B29" w:rsidRPr="00120DE0">
        <w:rPr>
          <w:rFonts w:cs="Arial"/>
          <w:szCs w:val="24"/>
        </w:rPr>
        <w:t>59.6</w:t>
      </w:r>
      <w:r w:rsidR="00C16B29">
        <w:rPr>
          <w:rFonts w:cs="Arial"/>
          <w:szCs w:val="24"/>
        </w:rPr>
        <w:t xml:space="preserve"> and </w:t>
      </w:r>
      <w:r w:rsidR="00C16B29" w:rsidRPr="00120DE0">
        <w:rPr>
          <w:rFonts w:cs="Arial"/>
          <w:szCs w:val="24"/>
        </w:rPr>
        <w:t>55.1</w:t>
      </w:r>
      <w:r w:rsidR="00C16B29">
        <w:rPr>
          <w:rFonts w:cs="Arial"/>
          <w:szCs w:val="24"/>
        </w:rPr>
        <w:t xml:space="preserve"> respectively</w:t>
      </w:r>
      <w:r w:rsidRPr="00120DE0">
        <w:rPr>
          <w:rFonts w:cs="Arial"/>
          <w:szCs w:val="24"/>
        </w:rPr>
        <w:t>.</w:t>
      </w:r>
    </w:p>
    <w:p w14:paraId="0AAA1607" w14:textId="77777777" w:rsidR="00A238EE" w:rsidRPr="00B40734" w:rsidRDefault="00A238EE" w:rsidP="00A238EE">
      <w:pPr>
        <w:spacing w:before="60" w:after="60"/>
        <w:contextualSpacing/>
        <w:rPr>
          <w:rFonts w:cs="Arial"/>
          <w:szCs w:val="24"/>
        </w:rPr>
      </w:pPr>
    </w:p>
    <w:p w14:paraId="59DE92C2" w14:textId="77777777" w:rsidR="00A238EE" w:rsidRPr="00B543ED" w:rsidRDefault="00A238EE" w:rsidP="00A238EE">
      <w:pPr>
        <w:numPr>
          <w:ilvl w:val="0"/>
          <w:numId w:val="7"/>
        </w:numPr>
        <w:spacing w:before="60" w:after="60"/>
        <w:ind w:left="644"/>
        <w:contextualSpacing/>
        <w:rPr>
          <w:rFonts w:cs="Arial"/>
          <w:szCs w:val="24"/>
        </w:rPr>
      </w:pPr>
      <w:r w:rsidRPr="00B40734">
        <w:t>Dublin’s latest international rankings. See Appendix 2.</w:t>
      </w:r>
    </w:p>
    <w:p w14:paraId="4AB10F1E" w14:textId="77777777" w:rsidR="00A238EE" w:rsidRPr="00B40734" w:rsidRDefault="00A238EE" w:rsidP="00A238EE">
      <w:pPr>
        <w:pStyle w:val="Heading3"/>
        <w:numPr>
          <w:ilvl w:val="0"/>
          <w:numId w:val="0"/>
        </w:numPr>
        <w:ind w:left="567" w:hanging="567"/>
        <w:rPr>
          <w:rFonts w:eastAsia="Times"/>
          <w:lang w:val="en-GB" w:eastAsia="en-IE"/>
        </w:rPr>
      </w:pPr>
      <w:r w:rsidRPr="00B40734">
        <w:rPr>
          <w:rFonts w:eastAsia="Times"/>
          <w:lang w:val="en-GB" w:eastAsia="en-IE"/>
        </w:rPr>
        <w:br w:type="column"/>
      </w:r>
      <w:r w:rsidRPr="00B40734">
        <w:rPr>
          <w:rFonts w:eastAsia="Times"/>
          <w:lang w:val="en-GB" w:eastAsia="en-IE"/>
        </w:rPr>
        <w:t>Indicator 8: Environmental</w:t>
      </w:r>
    </w:p>
    <w:p w14:paraId="059DC84B" w14:textId="77777777" w:rsidR="00A238EE" w:rsidRPr="00B40734" w:rsidRDefault="00A238EE" w:rsidP="00A238EE">
      <w:pPr>
        <w:spacing w:before="60" w:after="60"/>
        <w:ind w:left="720"/>
        <w:contextualSpacing/>
        <w:rPr>
          <w:rFonts w:cs="Arial"/>
        </w:rPr>
      </w:pPr>
    </w:p>
    <w:p w14:paraId="1119A949" w14:textId="77777777" w:rsidR="00A238EE" w:rsidRPr="00B40734" w:rsidRDefault="00A238EE" w:rsidP="00A238EE">
      <w:pPr>
        <w:numPr>
          <w:ilvl w:val="0"/>
          <w:numId w:val="1"/>
        </w:numPr>
        <w:spacing w:before="60" w:after="60"/>
        <w:contextualSpacing/>
        <w:rPr>
          <w:rFonts w:cs="Arial"/>
        </w:rPr>
      </w:pPr>
      <w:r w:rsidRPr="00B40734">
        <w:rPr>
          <w:rFonts w:cs="Arial"/>
        </w:rPr>
        <w:t>Air quality data (Environmental Protection Authority)</w:t>
      </w:r>
    </w:p>
    <w:p w14:paraId="2080064D" w14:textId="08C1577B" w:rsidR="00A238EE" w:rsidRPr="009E1B31" w:rsidRDefault="00A238EE" w:rsidP="00A238EE">
      <w:r w:rsidRPr="00B40734">
        <w:t xml:space="preserve">Ambient Air Quality Monitoring Data is available at </w:t>
      </w:r>
      <w:r w:rsidRPr="00773279">
        <w:t xml:space="preserve">https://dublincityairandnoise.ie/. </w:t>
      </w:r>
      <w:r w:rsidRPr="00B40734">
        <w:t xml:space="preserve">This is real-time mapped data for specific measuring points and providing </w:t>
      </w:r>
      <w:r w:rsidR="00BC2522">
        <w:t xml:space="preserve">particulate matter measurements for </w:t>
      </w:r>
      <w:r w:rsidRPr="00B40734">
        <w:t xml:space="preserve">PM10 and </w:t>
      </w:r>
      <w:r w:rsidRPr="009E1B31">
        <w:t>PM2.5.</w:t>
      </w:r>
      <w:r w:rsidR="00BC2522" w:rsidRPr="009E1B31">
        <w:t xml:space="preserve"> PM10 means that the particulate matter is 10 microns or less in diameter</w:t>
      </w:r>
      <w:r w:rsidR="00F67B0D" w:rsidRPr="009E1B31">
        <w:t xml:space="preserve"> whereas </w:t>
      </w:r>
      <w:r w:rsidR="00BC2522" w:rsidRPr="009E1B31">
        <w:t>PM2.5 partic</w:t>
      </w:r>
      <w:r w:rsidR="00F67B0D" w:rsidRPr="009E1B31">
        <w:t>les</w:t>
      </w:r>
      <w:r w:rsidR="00BC2522" w:rsidRPr="009E1B31">
        <w:t xml:space="preserve"> </w:t>
      </w:r>
      <w:r w:rsidR="00F67B0D" w:rsidRPr="009E1B31">
        <w:t>are</w:t>
      </w:r>
      <w:r w:rsidR="00BC2522" w:rsidRPr="009E1B31">
        <w:t xml:space="preserve"> 2.5 microns or less in diameter</w:t>
      </w:r>
      <w:r w:rsidR="00D01EDE" w:rsidRPr="009E1B31">
        <w:t>, which are small enough to pass through human lungs and into the bloodstream</w:t>
      </w:r>
      <w:r w:rsidR="00F67B0D" w:rsidRPr="009E1B31">
        <w:t xml:space="preserve"> causing health impacts.</w:t>
      </w:r>
    </w:p>
    <w:p w14:paraId="6A7E74F6" w14:textId="77777777" w:rsidR="00A238EE" w:rsidRPr="009E1B31" w:rsidRDefault="00A238EE" w:rsidP="00A238EE"/>
    <w:p w14:paraId="1059FC07" w14:textId="27E77ECC" w:rsidR="00A238EE" w:rsidRPr="009E1B31" w:rsidRDefault="00A238EE" w:rsidP="00A238EE">
      <w:pPr>
        <w:jc w:val="left"/>
      </w:pPr>
      <w:r w:rsidRPr="009E1B31">
        <w:t xml:space="preserve">Sample measurements observed at </w:t>
      </w:r>
      <w:bookmarkStart w:id="45" w:name="_Hlk205458101"/>
      <w:r w:rsidRPr="009E1B31">
        <w:t>17.15 pm on 28/05/</w:t>
      </w:r>
      <w:r w:rsidR="00952164" w:rsidRPr="009E1B31">
        <w:t>24</w:t>
      </w:r>
      <w:r w:rsidRPr="009E1B31">
        <w:t xml:space="preserve"> </w:t>
      </w:r>
      <w:bookmarkEnd w:id="45"/>
      <w:r w:rsidRPr="009E1B31">
        <w:t xml:space="preserve">are provided in </w:t>
      </w:r>
      <w:r w:rsidRPr="00807463">
        <w:t xml:space="preserve">Table </w:t>
      </w:r>
      <w:r w:rsidR="00807463" w:rsidRPr="00807463">
        <w:t>11</w:t>
      </w:r>
      <w:r w:rsidR="00471C5F" w:rsidRPr="009E1B31">
        <w:t xml:space="preserve"> below</w:t>
      </w:r>
      <w:r w:rsidRPr="009E1B31">
        <w:t>.</w:t>
      </w:r>
    </w:p>
    <w:p w14:paraId="67265947" w14:textId="77777777" w:rsidR="00A238EE" w:rsidRPr="009E1B31" w:rsidRDefault="00A238EE" w:rsidP="00A238EE"/>
    <w:p w14:paraId="453BF699" w14:textId="0BFBAFC0" w:rsidR="00A238EE" w:rsidRPr="009E1B31" w:rsidRDefault="00A238EE" w:rsidP="00A238EE">
      <w:pPr>
        <w:keepNext/>
        <w:spacing w:after="200" w:line="276" w:lineRule="auto"/>
        <w:contextualSpacing/>
        <w:jc w:val="center"/>
        <w:rPr>
          <w:rFonts w:eastAsia="Calibri" w:cstheme="minorHAnsi"/>
          <w:b/>
          <w:bCs/>
          <w:szCs w:val="16"/>
        </w:rPr>
      </w:pPr>
      <w:r w:rsidRPr="009E1B31">
        <w:rPr>
          <w:rFonts w:eastAsia="Calibri" w:cstheme="minorHAnsi"/>
          <w:b/>
          <w:bCs/>
          <w:szCs w:val="16"/>
        </w:rPr>
        <w:t xml:space="preserve">Table </w:t>
      </w:r>
      <w:r w:rsidR="00DC4656" w:rsidRPr="009E1B31">
        <w:rPr>
          <w:rFonts w:eastAsia="Calibri" w:cstheme="minorHAnsi"/>
          <w:b/>
          <w:bCs/>
          <w:szCs w:val="16"/>
        </w:rPr>
        <w:t>11</w:t>
      </w:r>
      <w:r w:rsidRPr="009E1B31">
        <w:rPr>
          <w:rFonts w:eastAsia="Calibri" w:cstheme="minorHAnsi"/>
          <w:b/>
          <w:bCs/>
          <w:szCs w:val="16"/>
        </w:rPr>
        <w:t>: Air Quality Monitoring Samples</w:t>
      </w:r>
    </w:p>
    <w:tbl>
      <w:tblPr>
        <w:tblStyle w:val="TableGrid1"/>
        <w:tblW w:w="6658" w:type="dxa"/>
        <w:tblLayout w:type="fixed"/>
        <w:tblLook w:val="04A0" w:firstRow="1" w:lastRow="0" w:firstColumn="1" w:lastColumn="0" w:noHBand="0" w:noVBand="1"/>
      </w:tblPr>
      <w:tblGrid>
        <w:gridCol w:w="1617"/>
        <w:gridCol w:w="2498"/>
        <w:gridCol w:w="2543"/>
      </w:tblGrid>
      <w:tr w:rsidR="00A238EE" w:rsidRPr="009E1B31" w14:paraId="7ABE4412" w14:textId="77777777" w:rsidTr="00A238EE">
        <w:tc>
          <w:tcPr>
            <w:tcW w:w="1617" w:type="dxa"/>
          </w:tcPr>
          <w:p w14:paraId="28702473" w14:textId="77777777" w:rsidR="00A238EE" w:rsidRPr="009E1B31" w:rsidRDefault="00A238EE" w:rsidP="00A238EE">
            <w:pPr>
              <w:spacing w:after="120"/>
              <w:jc w:val="center"/>
              <w:rPr>
                <w:rFonts w:cs="Arial"/>
                <w:b/>
              </w:rPr>
            </w:pPr>
            <w:r w:rsidRPr="009E1B31">
              <w:rPr>
                <w:rFonts w:cs="Arial"/>
                <w:b/>
              </w:rPr>
              <w:t>Location</w:t>
            </w:r>
          </w:p>
        </w:tc>
        <w:tc>
          <w:tcPr>
            <w:tcW w:w="2498" w:type="dxa"/>
          </w:tcPr>
          <w:p w14:paraId="71331396" w14:textId="784F4A41" w:rsidR="00A238EE" w:rsidRPr="009E1B31" w:rsidRDefault="00A238EE" w:rsidP="00A238EE">
            <w:pPr>
              <w:spacing w:after="120"/>
              <w:jc w:val="center"/>
              <w:rPr>
                <w:rFonts w:cs="Arial"/>
                <w:b/>
              </w:rPr>
            </w:pPr>
            <w:r w:rsidRPr="009E1B31">
              <w:rPr>
                <w:rFonts w:cs="Arial"/>
                <w:b/>
              </w:rPr>
              <w:t xml:space="preserve">PM10 (24 hr mean) </w:t>
            </w:r>
            <w:proofErr w:type="spellStart"/>
            <w:r w:rsidRPr="009E1B31">
              <w:rPr>
                <w:rFonts w:cs="Arial"/>
                <w:b/>
              </w:rPr>
              <w:t>μg</w:t>
            </w:r>
            <w:proofErr w:type="spellEnd"/>
            <w:r w:rsidRPr="009E1B31">
              <w:rPr>
                <w:rFonts w:cs="Arial"/>
                <w:b/>
              </w:rPr>
              <w:t>/sqm</w:t>
            </w:r>
          </w:p>
        </w:tc>
        <w:tc>
          <w:tcPr>
            <w:tcW w:w="2543" w:type="dxa"/>
          </w:tcPr>
          <w:p w14:paraId="4F834A17" w14:textId="77777777" w:rsidR="00A238EE" w:rsidRPr="009E1B31" w:rsidRDefault="00A238EE" w:rsidP="00A238EE">
            <w:pPr>
              <w:spacing w:after="120"/>
              <w:jc w:val="center"/>
              <w:rPr>
                <w:rFonts w:cs="Arial"/>
                <w:b/>
              </w:rPr>
            </w:pPr>
            <w:r w:rsidRPr="009E1B31">
              <w:rPr>
                <w:rFonts w:cs="Arial"/>
                <w:b/>
              </w:rPr>
              <w:t xml:space="preserve">PM2.5 (24 Hr mean) </w:t>
            </w:r>
            <w:proofErr w:type="spellStart"/>
            <w:r w:rsidRPr="009E1B31">
              <w:rPr>
                <w:rFonts w:cs="Arial"/>
                <w:b/>
              </w:rPr>
              <w:t>μg</w:t>
            </w:r>
            <w:proofErr w:type="spellEnd"/>
            <w:r w:rsidRPr="009E1B31">
              <w:rPr>
                <w:rFonts w:cs="Arial"/>
                <w:b/>
              </w:rPr>
              <w:t>/sqm</w:t>
            </w:r>
          </w:p>
        </w:tc>
      </w:tr>
      <w:tr w:rsidR="00A238EE" w:rsidRPr="009E1B31" w14:paraId="55737EEA" w14:textId="77777777" w:rsidTr="00A238EE">
        <w:tc>
          <w:tcPr>
            <w:tcW w:w="1617" w:type="dxa"/>
          </w:tcPr>
          <w:p w14:paraId="70466012" w14:textId="77777777" w:rsidR="00A238EE" w:rsidRPr="009E1B31" w:rsidRDefault="00A238EE" w:rsidP="00A238EE">
            <w:pPr>
              <w:spacing w:after="60"/>
              <w:jc w:val="left"/>
              <w:rPr>
                <w:rFonts w:cs="Arial"/>
              </w:rPr>
            </w:pPr>
            <w:r w:rsidRPr="009E1B31">
              <w:rPr>
                <w:rFonts w:cs="Arial"/>
              </w:rPr>
              <w:t>Drumcondra</w:t>
            </w:r>
          </w:p>
        </w:tc>
        <w:tc>
          <w:tcPr>
            <w:tcW w:w="2498" w:type="dxa"/>
          </w:tcPr>
          <w:p w14:paraId="56E0845B" w14:textId="61567658" w:rsidR="00A238EE" w:rsidRPr="009E1B31" w:rsidRDefault="00952164" w:rsidP="00A238EE">
            <w:pPr>
              <w:spacing w:after="60"/>
              <w:jc w:val="center"/>
              <w:rPr>
                <w:rFonts w:cs="Arial"/>
              </w:rPr>
            </w:pPr>
            <w:r w:rsidRPr="009E1B31">
              <w:rPr>
                <w:rFonts w:cs="Arial"/>
              </w:rPr>
              <w:t>5.3</w:t>
            </w:r>
          </w:p>
        </w:tc>
        <w:tc>
          <w:tcPr>
            <w:tcW w:w="2543" w:type="dxa"/>
          </w:tcPr>
          <w:p w14:paraId="7E426D99" w14:textId="4D06FAD7" w:rsidR="00A238EE" w:rsidRPr="009E1B31" w:rsidRDefault="00952164" w:rsidP="00A238EE">
            <w:pPr>
              <w:spacing w:after="60"/>
              <w:jc w:val="center"/>
              <w:rPr>
                <w:rFonts w:cs="Arial"/>
              </w:rPr>
            </w:pPr>
            <w:r w:rsidRPr="009E1B31">
              <w:rPr>
                <w:rFonts w:cs="Arial"/>
              </w:rPr>
              <w:t>2.18</w:t>
            </w:r>
          </w:p>
        </w:tc>
      </w:tr>
      <w:tr w:rsidR="00A238EE" w:rsidRPr="009E1B31" w14:paraId="43208288" w14:textId="77777777" w:rsidTr="00A238EE">
        <w:tc>
          <w:tcPr>
            <w:tcW w:w="1617" w:type="dxa"/>
          </w:tcPr>
          <w:p w14:paraId="4AD8CC6C" w14:textId="77777777" w:rsidR="00A238EE" w:rsidRPr="009E1B31" w:rsidRDefault="00A238EE" w:rsidP="00A238EE">
            <w:pPr>
              <w:spacing w:after="60"/>
              <w:jc w:val="left"/>
              <w:rPr>
                <w:rFonts w:cs="Arial"/>
              </w:rPr>
            </w:pPr>
            <w:r w:rsidRPr="009E1B31">
              <w:rPr>
                <w:rFonts w:cs="Arial"/>
              </w:rPr>
              <w:t>Lord Edward Street</w:t>
            </w:r>
          </w:p>
        </w:tc>
        <w:tc>
          <w:tcPr>
            <w:tcW w:w="2498" w:type="dxa"/>
          </w:tcPr>
          <w:p w14:paraId="7A2716E9" w14:textId="1FD1E106" w:rsidR="00A238EE" w:rsidRPr="009E1B31" w:rsidRDefault="00952164" w:rsidP="00A238EE">
            <w:pPr>
              <w:spacing w:after="60"/>
              <w:jc w:val="center"/>
              <w:rPr>
                <w:rFonts w:cs="Arial"/>
                <w:strike/>
              </w:rPr>
            </w:pPr>
            <w:r w:rsidRPr="009E1B31">
              <w:rPr>
                <w:rFonts w:cs="Arial"/>
              </w:rPr>
              <w:t>3.5</w:t>
            </w:r>
          </w:p>
        </w:tc>
        <w:tc>
          <w:tcPr>
            <w:tcW w:w="2543" w:type="dxa"/>
          </w:tcPr>
          <w:p w14:paraId="48A6D404" w14:textId="51B271A1" w:rsidR="00A238EE" w:rsidRPr="009E1B31" w:rsidRDefault="00952164" w:rsidP="00A238EE">
            <w:pPr>
              <w:spacing w:after="60"/>
              <w:jc w:val="center"/>
              <w:rPr>
                <w:rFonts w:cs="Arial"/>
              </w:rPr>
            </w:pPr>
            <w:r w:rsidRPr="009E1B31">
              <w:rPr>
                <w:rFonts w:cs="Arial"/>
              </w:rPr>
              <w:t>0.89</w:t>
            </w:r>
          </w:p>
        </w:tc>
      </w:tr>
      <w:tr w:rsidR="00A238EE" w:rsidRPr="009E1B31" w14:paraId="76F31146" w14:textId="77777777" w:rsidTr="00A238EE">
        <w:tc>
          <w:tcPr>
            <w:tcW w:w="1617" w:type="dxa"/>
          </w:tcPr>
          <w:p w14:paraId="513C7685" w14:textId="77777777" w:rsidR="00A238EE" w:rsidRPr="009E1B31" w:rsidRDefault="00A238EE" w:rsidP="00A238EE">
            <w:pPr>
              <w:spacing w:after="60"/>
              <w:jc w:val="left"/>
              <w:rPr>
                <w:rFonts w:cs="Arial"/>
              </w:rPr>
            </w:pPr>
            <w:r w:rsidRPr="009E1B31">
              <w:rPr>
                <w:rFonts w:cs="Arial"/>
              </w:rPr>
              <w:t>Ballymun Library</w:t>
            </w:r>
          </w:p>
        </w:tc>
        <w:tc>
          <w:tcPr>
            <w:tcW w:w="2498" w:type="dxa"/>
          </w:tcPr>
          <w:p w14:paraId="179BA15D" w14:textId="45BE0E25" w:rsidR="00A238EE" w:rsidRPr="009E1B31" w:rsidRDefault="00952164" w:rsidP="00A238EE">
            <w:pPr>
              <w:spacing w:after="60"/>
              <w:jc w:val="center"/>
              <w:rPr>
                <w:rFonts w:cs="Arial"/>
              </w:rPr>
            </w:pPr>
            <w:r w:rsidRPr="009E1B31">
              <w:rPr>
                <w:rFonts w:cs="Arial"/>
              </w:rPr>
              <w:t>14.5</w:t>
            </w:r>
          </w:p>
        </w:tc>
        <w:tc>
          <w:tcPr>
            <w:tcW w:w="2543" w:type="dxa"/>
          </w:tcPr>
          <w:p w14:paraId="488A267B" w14:textId="2731876C" w:rsidR="00A238EE" w:rsidRPr="009E1B31" w:rsidRDefault="00952164" w:rsidP="00A238EE">
            <w:pPr>
              <w:spacing w:after="60"/>
              <w:jc w:val="center"/>
              <w:rPr>
                <w:rFonts w:cs="Arial"/>
              </w:rPr>
            </w:pPr>
            <w:r w:rsidRPr="009E1B31">
              <w:rPr>
                <w:rFonts w:cs="Arial"/>
              </w:rPr>
              <w:t>3.08</w:t>
            </w:r>
          </w:p>
        </w:tc>
      </w:tr>
      <w:tr w:rsidR="00A238EE" w:rsidRPr="00B40734" w14:paraId="5E9EB86A" w14:textId="77777777" w:rsidTr="00A238EE">
        <w:tc>
          <w:tcPr>
            <w:tcW w:w="1617" w:type="dxa"/>
          </w:tcPr>
          <w:p w14:paraId="65EAAD67" w14:textId="77777777" w:rsidR="00A238EE" w:rsidRPr="009E1B31" w:rsidRDefault="00A238EE" w:rsidP="00A238EE">
            <w:pPr>
              <w:spacing w:after="60"/>
              <w:jc w:val="left"/>
              <w:rPr>
                <w:rFonts w:cs="Arial"/>
              </w:rPr>
            </w:pPr>
            <w:r w:rsidRPr="009E1B31">
              <w:rPr>
                <w:rFonts w:cs="Arial"/>
              </w:rPr>
              <w:t>Donnybrook Fire Station</w:t>
            </w:r>
          </w:p>
        </w:tc>
        <w:tc>
          <w:tcPr>
            <w:tcW w:w="2498" w:type="dxa"/>
          </w:tcPr>
          <w:p w14:paraId="770B35BC" w14:textId="3224F5E1" w:rsidR="00A238EE" w:rsidRPr="009E1B31" w:rsidRDefault="00952164" w:rsidP="00A238EE">
            <w:pPr>
              <w:spacing w:after="60"/>
              <w:jc w:val="center"/>
              <w:rPr>
                <w:rFonts w:cs="Arial"/>
              </w:rPr>
            </w:pPr>
            <w:r w:rsidRPr="009E1B31">
              <w:rPr>
                <w:rFonts w:cs="Arial"/>
              </w:rPr>
              <w:t>5.4</w:t>
            </w:r>
          </w:p>
        </w:tc>
        <w:tc>
          <w:tcPr>
            <w:tcW w:w="2543" w:type="dxa"/>
          </w:tcPr>
          <w:p w14:paraId="04196E07" w14:textId="4EF982B1" w:rsidR="00A238EE" w:rsidRPr="00952164" w:rsidRDefault="00952164" w:rsidP="00A238EE">
            <w:pPr>
              <w:spacing w:after="60"/>
              <w:jc w:val="center"/>
              <w:rPr>
                <w:rFonts w:cs="Arial"/>
              </w:rPr>
            </w:pPr>
            <w:r w:rsidRPr="009E1B31">
              <w:rPr>
                <w:rFonts w:cs="Arial"/>
              </w:rPr>
              <w:t>2.77</w:t>
            </w:r>
          </w:p>
        </w:tc>
      </w:tr>
    </w:tbl>
    <w:p w14:paraId="0A15AB5A" w14:textId="77777777" w:rsidR="00A238EE" w:rsidRPr="00B40734" w:rsidRDefault="00A238EE" w:rsidP="00A238EE">
      <w:pPr>
        <w:spacing w:before="240" w:after="60"/>
        <w:jc w:val="center"/>
        <w:rPr>
          <w:rFonts w:cs="Arial"/>
        </w:rPr>
      </w:pPr>
    </w:p>
    <w:p w14:paraId="7C5B644C" w14:textId="77777777" w:rsidR="00A238EE" w:rsidRPr="00B40734" w:rsidRDefault="00A238EE" w:rsidP="00A238EE">
      <w:pPr>
        <w:numPr>
          <w:ilvl w:val="0"/>
          <w:numId w:val="1"/>
        </w:numPr>
        <w:spacing w:after="160"/>
      </w:pPr>
      <w:r w:rsidRPr="00B40734">
        <w:t xml:space="preserve">Environmental Noise levels </w:t>
      </w:r>
    </w:p>
    <w:p w14:paraId="5923B82F" w14:textId="77777777" w:rsidR="00A238EE" w:rsidRPr="00B40734" w:rsidRDefault="00A238EE" w:rsidP="00A238EE">
      <w:r w:rsidRPr="00B40734">
        <w:t>These are monitored live at https://dublincityairandnoise.ie/, where there is direct access to sound level monitors (mapped).</w:t>
      </w:r>
    </w:p>
    <w:p w14:paraId="4A5DD796" w14:textId="77777777" w:rsidR="00A238EE" w:rsidRPr="00B40734" w:rsidRDefault="00A238EE" w:rsidP="00A238EE"/>
    <w:p w14:paraId="0D2480A5" w14:textId="7CD7A074" w:rsidR="00A238EE" w:rsidRDefault="00A238EE" w:rsidP="00A238EE">
      <w:r w:rsidRPr="00B40734">
        <w:lastRenderedPageBreak/>
        <w:t xml:space="preserve">The following noise rating was taken from the website </w:t>
      </w:r>
      <w:bookmarkStart w:id="46" w:name="_Hlk205458124"/>
      <w:r w:rsidRPr="00B40734">
        <w:t xml:space="preserve">at </w:t>
      </w:r>
      <w:r w:rsidRPr="00541B10">
        <w:rPr>
          <w:rFonts w:eastAsia="Calibri" w:cstheme="minorHAnsi"/>
          <w:bCs/>
          <w:szCs w:val="16"/>
        </w:rPr>
        <w:t>1</w:t>
      </w:r>
      <w:r w:rsidR="009E55EA">
        <w:rPr>
          <w:rFonts w:eastAsia="Calibri" w:cstheme="minorHAnsi"/>
          <w:bCs/>
          <w:szCs w:val="16"/>
        </w:rPr>
        <w:t>1.10</w:t>
      </w:r>
      <w:r w:rsidRPr="00541B10">
        <w:t xml:space="preserve"> on </w:t>
      </w:r>
      <w:r w:rsidR="009E55EA">
        <w:t>12</w:t>
      </w:r>
      <w:r w:rsidRPr="00AD1200">
        <w:t>/0</w:t>
      </w:r>
      <w:r w:rsidR="009E55EA">
        <w:t>9</w:t>
      </w:r>
      <w:r w:rsidRPr="00AD1200">
        <w:t>/2</w:t>
      </w:r>
      <w:r w:rsidR="009E55EA">
        <w:t>4</w:t>
      </w:r>
      <w:r w:rsidRPr="00AD1200">
        <w:t>.</w:t>
      </w:r>
      <w:bookmarkEnd w:id="46"/>
      <w:r w:rsidR="00590AAB">
        <w:t xml:space="preserve"> </w:t>
      </w:r>
    </w:p>
    <w:p w14:paraId="2C99942F" w14:textId="77777777" w:rsidR="009E55EA" w:rsidRDefault="009E55EA" w:rsidP="00A238EE"/>
    <w:p w14:paraId="290B972C" w14:textId="77777777" w:rsidR="00AE37C7" w:rsidRPr="00B40734" w:rsidRDefault="00AE37C7" w:rsidP="00A238EE"/>
    <w:p w14:paraId="4C67E3AD" w14:textId="55CC4A90" w:rsidR="00A238EE" w:rsidRDefault="00A238EE" w:rsidP="00A238EE">
      <w:pPr>
        <w:keepNext/>
        <w:spacing w:after="200" w:line="276" w:lineRule="auto"/>
        <w:contextualSpacing/>
        <w:jc w:val="center"/>
      </w:pPr>
      <w:bookmarkStart w:id="47" w:name="_Toc180059475"/>
      <w:r w:rsidRPr="006260E3">
        <w:rPr>
          <w:b/>
          <w:bCs/>
        </w:rPr>
        <w:t xml:space="preserve">Figure 1: </w:t>
      </w:r>
      <w:bookmarkStart w:id="48" w:name="_Toc178675098"/>
      <w:r w:rsidRPr="006260E3">
        <w:rPr>
          <w:rFonts w:eastAsia="Calibri" w:cstheme="minorHAnsi"/>
          <w:b/>
          <w:bCs/>
          <w:szCs w:val="16"/>
        </w:rPr>
        <w:t>Dublin City Noise Rating</w:t>
      </w:r>
      <w:r w:rsidRPr="00B40734">
        <w:rPr>
          <w:rFonts w:eastAsia="Calibri" w:cstheme="minorHAnsi"/>
          <w:bCs/>
          <w:szCs w:val="16"/>
        </w:rPr>
        <w:t xml:space="preserve">, </w:t>
      </w:r>
      <w:bookmarkStart w:id="49" w:name="_Hlk205458144"/>
      <w:r w:rsidRPr="00541B10">
        <w:rPr>
          <w:rFonts w:eastAsia="Calibri" w:cstheme="minorHAnsi"/>
          <w:bCs/>
          <w:szCs w:val="16"/>
        </w:rPr>
        <w:t>1</w:t>
      </w:r>
      <w:r w:rsidR="005A1F1E">
        <w:rPr>
          <w:rFonts w:eastAsia="Calibri" w:cstheme="minorHAnsi"/>
          <w:bCs/>
          <w:szCs w:val="16"/>
        </w:rPr>
        <w:t>1</w:t>
      </w:r>
      <w:r w:rsidRPr="00541B10">
        <w:rPr>
          <w:rFonts w:eastAsia="Calibri" w:cstheme="minorHAnsi"/>
          <w:bCs/>
          <w:szCs w:val="16"/>
        </w:rPr>
        <w:t>:</w:t>
      </w:r>
      <w:r w:rsidR="005A1F1E">
        <w:rPr>
          <w:rFonts w:eastAsia="Calibri" w:cstheme="minorHAnsi"/>
          <w:bCs/>
          <w:szCs w:val="16"/>
        </w:rPr>
        <w:t>1</w:t>
      </w:r>
      <w:r w:rsidRPr="00541B10">
        <w:rPr>
          <w:rFonts w:eastAsia="Calibri" w:cstheme="minorHAnsi"/>
          <w:bCs/>
          <w:szCs w:val="16"/>
        </w:rPr>
        <w:t>0</w:t>
      </w:r>
      <w:r w:rsidRPr="00541B10">
        <w:t xml:space="preserve"> </w:t>
      </w:r>
      <w:bookmarkEnd w:id="47"/>
      <w:bookmarkEnd w:id="48"/>
      <w:r w:rsidRPr="00541B10">
        <w:t xml:space="preserve">on </w:t>
      </w:r>
      <w:r w:rsidR="005A1F1E">
        <w:t>12</w:t>
      </w:r>
      <w:r w:rsidRPr="00541B10">
        <w:t>/0</w:t>
      </w:r>
      <w:r w:rsidR="005A1F1E">
        <w:t>9</w:t>
      </w:r>
      <w:r w:rsidRPr="00541B10">
        <w:t>/2</w:t>
      </w:r>
      <w:r w:rsidR="005A1F1E">
        <w:t>4</w:t>
      </w:r>
      <w:r w:rsidRPr="00541B10">
        <w:t xml:space="preserve"> </w:t>
      </w:r>
      <w:bookmarkEnd w:id="49"/>
    </w:p>
    <w:p w14:paraId="2E63A20F" w14:textId="77777777" w:rsidR="009E55EA" w:rsidRDefault="009E55EA" w:rsidP="00A238EE">
      <w:pPr>
        <w:keepNext/>
        <w:spacing w:after="200" w:line="276" w:lineRule="auto"/>
        <w:contextualSpacing/>
        <w:jc w:val="center"/>
        <w:rPr>
          <w:rFonts w:eastAsia="Calibri" w:cstheme="minorHAnsi"/>
          <w:bCs/>
          <w:szCs w:val="16"/>
        </w:rPr>
      </w:pPr>
    </w:p>
    <w:p w14:paraId="4896445B" w14:textId="5291D617" w:rsidR="00A238EE" w:rsidRPr="00B40734" w:rsidRDefault="005A1F1E" w:rsidP="00A238EE">
      <w:pPr>
        <w:keepNext/>
        <w:spacing w:after="200" w:line="276" w:lineRule="auto"/>
        <w:contextualSpacing/>
        <w:jc w:val="center"/>
        <w:rPr>
          <w:rFonts w:eastAsia="Calibri" w:cs="Arial"/>
          <w:b/>
          <w:bCs/>
          <w:szCs w:val="16"/>
        </w:rPr>
      </w:pPr>
      <w:r>
        <w:rPr>
          <w:noProof/>
        </w:rPr>
        <w:drawing>
          <wp:inline distT="0" distB="0" distL="0" distR="0" wp14:anchorId="3FCF22EC" wp14:editId="2BCCD9F1">
            <wp:extent cx="3333750" cy="2480388"/>
            <wp:effectExtent l="0" t="0" r="0" b="0"/>
            <wp:docPr id="1787810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10130" name="Picture 1" descr="A screenshot of a computer&#10;&#10;AI-generated content may be incorrect."/>
                    <pic:cNvPicPr/>
                  </pic:nvPicPr>
                  <pic:blipFill rotWithShape="1">
                    <a:blip r:embed="rId13"/>
                    <a:srcRect l="36679" t="30253" r="12150" b="8350"/>
                    <a:stretch>
                      <a:fillRect/>
                    </a:stretch>
                  </pic:blipFill>
                  <pic:spPr bwMode="auto">
                    <a:xfrm>
                      <a:off x="0" y="0"/>
                      <a:ext cx="3374292" cy="2510552"/>
                    </a:xfrm>
                    <a:prstGeom prst="rect">
                      <a:avLst/>
                    </a:prstGeom>
                    <a:ln>
                      <a:noFill/>
                    </a:ln>
                    <a:extLst>
                      <a:ext uri="{53640926-AAD7-44D8-BBD7-CCE9431645EC}">
                        <a14:shadowObscured xmlns:a14="http://schemas.microsoft.com/office/drawing/2010/main"/>
                      </a:ext>
                    </a:extLst>
                  </pic:spPr>
                </pic:pic>
              </a:graphicData>
            </a:graphic>
          </wp:inline>
        </w:drawing>
      </w:r>
    </w:p>
    <w:p w14:paraId="47C92F19" w14:textId="77777777" w:rsidR="00A238EE" w:rsidRDefault="00A238EE" w:rsidP="00A238EE">
      <w:pPr>
        <w:spacing w:before="60" w:after="60"/>
        <w:rPr>
          <w:rFonts w:cs="Arial"/>
        </w:rPr>
      </w:pPr>
    </w:p>
    <w:p w14:paraId="68556198" w14:textId="77777777" w:rsidR="003D4264" w:rsidRPr="00B40734" w:rsidRDefault="003D4264" w:rsidP="00A238EE">
      <w:pPr>
        <w:spacing w:before="60" w:after="60"/>
        <w:rPr>
          <w:rFonts w:cs="Arial"/>
        </w:rPr>
      </w:pPr>
    </w:p>
    <w:p w14:paraId="0C20BC55" w14:textId="77777777" w:rsidR="00A238EE" w:rsidRPr="00B40734" w:rsidRDefault="00A238EE" w:rsidP="00A238EE">
      <w:pPr>
        <w:numPr>
          <w:ilvl w:val="0"/>
          <w:numId w:val="1"/>
        </w:numPr>
        <w:spacing w:after="160"/>
      </w:pPr>
      <w:r w:rsidRPr="00B40734">
        <w:t xml:space="preserve">Bathing water quality (measured at </w:t>
      </w:r>
      <w:proofErr w:type="spellStart"/>
      <w:r w:rsidRPr="00B40734">
        <w:t>Dollymount</w:t>
      </w:r>
      <w:proofErr w:type="spellEnd"/>
      <w:r w:rsidRPr="00B40734">
        <w:t>, Sandymount. Merrion Strand and Shelley Banks).</w:t>
      </w:r>
    </w:p>
    <w:p w14:paraId="5EE5D215" w14:textId="77777777" w:rsidR="00A238EE" w:rsidRPr="00B40734" w:rsidRDefault="00A238EE" w:rsidP="00A238EE">
      <w:pPr>
        <w:rPr>
          <w:shd w:val="clear" w:color="auto" w:fill="1F1F1F"/>
        </w:rPr>
      </w:pPr>
      <w:bookmarkStart w:id="50" w:name="_Hlk205458176"/>
      <w:r w:rsidRPr="00B40734">
        <w:t xml:space="preserve">In 2024, 20 scheduled bathing water samples were taken at 6 bathing water locations. </w:t>
      </w:r>
    </w:p>
    <w:p w14:paraId="31B95B3A" w14:textId="77777777" w:rsidR="00A238EE" w:rsidRPr="00B40734" w:rsidRDefault="00A238EE" w:rsidP="00A238EE"/>
    <w:p w14:paraId="2EED939E" w14:textId="3FABD4CB" w:rsidR="00A238EE" w:rsidRPr="00B40734" w:rsidRDefault="00A238EE" w:rsidP="00EE161B">
      <w:pPr>
        <w:spacing w:line="240" w:lineRule="auto"/>
      </w:pPr>
      <w:proofErr w:type="spellStart"/>
      <w:r w:rsidRPr="00B40734">
        <w:t>Dollymount</w:t>
      </w:r>
      <w:proofErr w:type="spellEnd"/>
      <w:r w:rsidRPr="00B40734">
        <w:t xml:space="preserve"> Strand is classified as achieving </w:t>
      </w:r>
      <w:r w:rsidRPr="00CB7084">
        <w:t xml:space="preserve">Good Water Quality in 2024 based on the assessment of bacteriological results for the period 2021 to 2024. </w:t>
      </w:r>
    </w:p>
    <w:bookmarkEnd w:id="50"/>
    <w:p w14:paraId="6B44DC2D" w14:textId="77777777" w:rsidR="00A238EE" w:rsidRPr="00B40734" w:rsidRDefault="00A238EE" w:rsidP="00A238EE"/>
    <w:p w14:paraId="4BBFAB00" w14:textId="14EBD56E" w:rsidR="00A238EE" w:rsidRPr="00932E27" w:rsidRDefault="00A238EE" w:rsidP="00A238EE">
      <w:bookmarkStart w:id="51" w:name="_Hlk205458210"/>
      <w:r w:rsidRPr="00B40734">
        <w:t xml:space="preserve">Sandymount Strand was classified as having </w:t>
      </w:r>
      <w:r w:rsidRPr="00620B09">
        <w:t>Poor W</w:t>
      </w:r>
      <w:r w:rsidRPr="00B40734">
        <w:t>ater Quality in 2024 based on the water quality results for the period 2021 to 202</w:t>
      </w:r>
      <w:r>
        <w:t>4</w:t>
      </w:r>
      <w:r w:rsidR="006C6C0B">
        <w:t>.</w:t>
      </w:r>
      <w:r w:rsidRPr="00B40734">
        <w:rPr>
          <w:strike/>
        </w:rPr>
        <w:t xml:space="preserve"> </w:t>
      </w:r>
      <w:r w:rsidR="006C6C0B">
        <w:t>C</w:t>
      </w:r>
      <w:r w:rsidRPr="00932E27">
        <w:t>onsequently, a bathing prohibition appl</w:t>
      </w:r>
      <w:r w:rsidR="0075137B">
        <w:t>ied</w:t>
      </w:r>
      <w:r w:rsidRPr="00932E27">
        <w:t xml:space="preserve"> for the 2024 bathing season.</w:t>
      </w:r>
    </w:p>
    <w:p w14:paraId="130FF432" w14:textId="77777777" w:rsidR="00A238EE" w:rsidRPr="00B40734" w:rsidRDefault="00A238EE" w:rsidP="00A238EE"/>
    <w:p w14:paraId="6617E9CB" w14:textId="1794A5FF" w:rsidR="00A238EE" w:rsidRPr="00B40734" w:rsidRDefault="00A238EE" w:rsidP="00A238EE">
      <w:r w:rsidRPr="00B40734">
        <w:t xml:space="preserve">Merrion Strand </w:t>
      </w:r>
      <w:r w:rsidRPr="00CB7084">
        <w:t xml:space="preserve">was declassified as a designated bathing water from the </w:t>
      </w:r>
      <w:r w:rsidR="00A24B64" w:rsidRPr="00CB7084">
        <w:t>1st of</w:t>
      </w:r>
      <w:r w:rsidRPr="00CB7084">
        <w:t xml:space="preserve"> June 2020</w:t>
      </w:r>
      <w:r w:rsidR="00CB7084" w:rsidRPr="00CB7084">
        <w:t>.</w:t>
      </w:r>
    </w:p>
    <w:p w14:paraId="3E710376" w14:textId="6D0A8A36" w:rsidR="00A238EE" w:rsidRPr="00B40734" w:rsidRDefault="00A238EE" w:rsidP="00A238EE">
      <w:pPr>
        <w:rPr>
          <w:rFonts w:eastAsia="Times New Roman"/>
          <w:lang w:eastAsia="en-IE"/>
        </w:rPr>
      </w:pPr>
    </w:p>
    <w:p w14:paraId="109EA33B" w14:textId="071C3643" w:rsidR="00A238EE" w:rsidRPr="00B40734" w:rsidRDefault="00A238EE" w:rsidP="00A238EE">
      <w:pPr>
        <w:rPr>
          <w:rFonts w:eastAsia="Times New Roman"/>
          <w:lang w:eastAsia="en-IE"/>
        </w:rPr>
      </w:pPr>
      <w:r w:rsidRPr="00B40734">
        <w:rPr>
          <w:rFonts w:eastAsia="Times New Roman"/>
          <w:lang w:eastAsia="en-IE"/>
        </w:rPr>
        <w:t xml:space="preserve">Shelley Banks:  Water quality recorded </w:t>
      </w:r>
      <w:r w:rsidRPr="00CB7084">
        <w:rPr>
          <w:rFonts w:eastAsia="Times New Roman"/>
          <w:lang w:eastAsia="en-IE"/>
        </w:rPr>
        <w:t xml:space="preserve">as ‘excellent’ as of </w:t>
      </w:r>
      <w:r w:rsidRPr="000A3BE4">
        <w:rPr>
          <w:rFonts w:eastAsia="Times New Roman"/>
          <w:lang w:eastAsia="en-IE"/>
        </w:rPr>
        <w:t>0</w:t>
      </w:r>
      <w:r w:rsidR="000A3BE4">
        <w:rPr>
          <w:rFonts w:eastAsia="Times New Roman"/>
          <w:lang w:eastAsia="en-IE"/>
        </w:rPr>
        <w:t>8</w:t>
      </w:r>
      <w:r w:rsidRPr="000A3BE4">
        <w:rPr>
          <w:rFonts w:eastAsia="Times New Roman"/>
          <w:lang w:eastAsia="en-IE"/>
        </w:rPr>
        <w:t>/</w:t>
      </w:r>
      <w:r w:rsidRPr="009E1B31">
        <w:rPr>
          <w:rFonts w:eastAsia="Times New Roman"/>
          <w:lang w:eastAsia="en-IE"/>
        </w:rPr>
        <w:t>0</w:t>
      </w:r>
      <w:r w:rsidR="000A3BE4" w:rsidRPr="009E1B31">
        <w:rPr>
          <w:rFonts w:eastAsia="Times New Roman"/>
          <w:lang w:eastAsia="en-IE"/>
        </w:rPr>
        <w:t>7</w:t>
      </w:r>
      <w:r w:rsidRPr="009E1B31">
        <w:rPr>
          <w:rFonts w:eastAsia="Times New Roman"/>
          <w:lang w:eastAsia="en-IE"/>
        </w:rPr>
        <w:t>/</w:t>
      </w:r>
      <w:r w:rsidR="00952164" w:rsidRPr="009E1B31">
        <w:rPr>
          <w:rFonts w:eastAsia="Times New Roman"/>
          <w:lang w:eastAsia="en-IE"/>
        </w:rPr>
        <w:t>24</w:t>
      </w:r>
      <w:r w:rsidRPr="009E1B31">
        <w:rPr>
          <w:rFonts w:eastAsia="Times New Roman"/>
          <w:lang w:eastAsia="en-IE"/>
        </w:rPr>
        <w:t>.</w:t>
      </w:r>
      <w:r w:rsidRPr="00CB7084">
        <w:rPr>
          <w:rFonts w:eastAsia="Times New Roman"/>
          <w:lang w:eastAsia="en-IE"/>
        </w:rPr>
        <w:t xml:space="preserve"> </w:t>
      </w:r>
      <w:r w:rsidRPr="00B40734">
        <w:rPr>
          <w:rFonts w:eastAsia="Times New Roman"/>
          <w:lang w:eastAsia="en-IE"/>
        </w:rPr>
        <w:t>(</w:t>
      </w:r>
      <w:hyperlink r:id="rId14" w:history="1">
        <w:r w:rsidRPr="00B40734">
          <w:rPr>
            <w:rFonts w:eastAsia="Times New Roman"/>
            <w:u w:val="single"/>
            <w:lang w:eastAsia="en-IE"/>
          </w:rPr>
          <w:t>www.beaches.ie</w:t>
        </w:r>
      </w:hyperlink>
      <w:r w:rsidRPr="00B40734">
        <w:rPr>
          <w:rFonts w:eastAsia="Times New Roman"/>
          <w:lang w:eastAsia="en-IE"/>
        </w:rPr>
        <w:t>)</w:t>
      </w:r>
    </w:p>
    <w:bookmarkEnd w:id="51"/>
    <w:p w14:paraId="30E8CE59" w14:textId="33694190" w:rsidR="00A238EE" w:rsidRPr="009B364B" w:rsidRDefault="00A238EE" w:rsidP="00A238EE">
      <w:pPr>
        <w:rPr>
          <w:rFonts w:eastAsia="Times New Roman"/>
          <w:i/>
          <w:iCs/>
          <w:lang w:eastAsia="en-IE"/>
        </w:rPr>
      </w:pPr>
    </w:p>
    <w:p w14:paraId="6E4103D9" w14:textId="77777777" w:rsidR="00A238EE" w:rsidRPr="00B40734" w:rsidRDefault="00A238EE" w:rsidP="00A238EE">
      <w:pPr>
        <w:numPr>
          <w:ilvl w:val="0"/>
          <w:numId w:val="1"/>
        </w:numPr>
        <w:spacing w:after="160"/>
      </w:pPr>
      <w:r w:rsidRPr="00B40734">
        <w:t>Carbon reduction</w:t>
      </w:r>
    </w:p>
    <w:p w14:paraId="4F3D7BAA" w14:textId="4155E53E" w:rsidR="00A238EE" w:rsidRPr="00B40734" w:rsidRDefault="00A238EE" w:rsidP="00EE161B">
      <w:pPr>
        <w:spacing w:line="240" w:lineRule="auto"/>
      </w:pPr>
      <w:bookmarkStart w:id="52" w:name="_Hlk205458310"/>
      <w:r w:rsidRPr="00B40734">
        <w:t xml:space="preserve">A range of specific objectives aim to reduce carbon/greenhouse gases and increase use of renewable energy whilst also reducing energy consumption. </w:t>
      </w:r>
      <w:r w:rsidR="00471C5F" w:rsidRPr="00B40734">
        <w:t>Objective C4</w:t>
      </w:r>
      <w:r w:rsidR="00471C5F">
        <w:t xml:space="preserve"> of </w:t>
      </w:r>
      <w:r w:rsidRPr="00B40734">
        <w:t>Dublin Climate Action Plan 2024 - 2029 (Climate Neutral Dublin 2030) sets out 2 decarbonisation zones: Ringsend/</w:t>
      </w:r>
      <w:proofErr w:type="spellStart"/>
      <w:r w:rsidRPr="00B40734">
        <w:t>Poolbeg</w:t>
      </w:r>
      <w:proofErr w:type="spellEnd"/>
      <w:r w:rsidRPr="00B40734">
        <w:t xml:space="preserve"> and Ballymun.</w:t>
      </w:r>
      <w:r w:rsidR="00471C5F">
        <w:t xml:space="preserve"> P</w:t>
      </w:r>
      <w:r w:rsidRPr="00B40734">
        <w:t>olicies CA11-14 inclusive aim to increase use of renewables</w:t>
      </w:r>
      <w:r w:rsidR="00471C5F">
        <w:t xml:space="preserve"> and d</w:t>
      </w:r>
      <w:r w:rsidRPr="00B40734">
        <w:t>istrict heating initiatives are supported under CA15-19. Sustainable transport objectives are also being implemented</w:t>
      </w:r>
      <w:r w:rsidR="00471C5F">
        <w:t>,</w:t>
      </w:r>
      <w:r w:rsidRPr="00B40734">
        <w:t xml:space="preserve"> including improved public transport and improved infrastructure for charging electric vehicles.</w:t>
      </w:r>
    </w:p>
    <w:p w14:paraId="04BE0EE4" w14:textId="77777777" w:rsidR="00A238EE" w:rsidRPr="00B40734" w:rsidRDefault="00A238EE" w:rsidP="00A238EE"/>
    <w:p w14:paraId="0A4DE40C" w14:textId="5920D25E" w:rsidR="00A238EE" w:rsidRPr="00B40734" w:rsidRDefault="00A238EE" w:rsidP="00BD079F">
      <w:pPr>
        <w:spacing w:line="240" w:lineRule="auto"/>
      </w:pPr>
      <w:r w:rsidRPr="00B40734">
        <w:t>In terms of specific figures, in 201</w:t>
      </w:r>
      <w:r>
        <w:t>6</w:t>
      </w:r>
      <w:r w:rsidRPr="00B40734">
        <w:t xml:space="preserve"> the entire Dublin City area emitted </w:t>
      </w:r>
      <w:r w:rsidRPr="00CB7084">
        <w:t>2,810,880 tonnes C</w:t>
      </w:r>
      <w:r w:rsidR="002D0A27">
        <w:t>O</w:t>
      </w:r>
      <w:r w:rsidRPr="00CB7084">
        <w:t xml:space="preserve">2 equivalent (source: p52, DCC Climate Change Action Plan 2019-2024). The 2018 estimate is 2,183,270 </w:t>
      </w:r>
      <w:r w:rsidRPr="00B40734">
        <w:t xml:space="preserve">tonnes </w:t>
      </w:r>
      <w:r w:rsidR="003428E7">
        <w:t>C</w:t>
      </w:r>
      <w:r w:rsidR="002D0A27">
        <w:t>O</w:t>
      </w:r>
      <w:r w:rsidRPr="00B40734">
        <w:t xml:space="preserve">2 equivalent (source: p67 of DCC Climate Action Plan 2024-2029). </w:t>
      </w:r>
    </w:p>
    <w:bookmarkEnd w:id="52"/>
    <w:p w14:paraId="69326212" w14:textId="77777777" w:rsidR="00A238EE" w:rsidRPr="00B40734" w:rsidRDefault="00A238EE" w:rsidP="00A238EE"/>
    <w:p w14:paraId="4CE931D7" w14:textId="2F050A0F" w:rsidR="00A238EE" w:rsidRPr="00B40734" w:rsidRDefault="00A238EE" w:rsidP="00A238EE">
      <w:r w:rsidRPr="00B40734">
        <w:t xml:space="preserve">In terms of Dublin City Councils own activities, </w:t>
      </w:r>
      <w:r w:rsidRPr="00A2667A">
        <w:t xml:space="preserve">2017 </w:t>
      </w:r>
      <w:r w:rsidRPr="00B40734">
        <w:t xml:space="preserve">saw emissions of </w:t>
      </w:r>
      <w:r w:rsidR="00A2667A">
        <w:t>40</w:t>
      </w:r>
      <w:r w:rsidR="00EE161B">
        <w:t>,</w:t>
      </w:r>
      <w:r w:rsidR="00A2667A">
        <w:t>370</w:t>
      </w:r>
      <w:r w:rsidRPr="00B40734">
        <w:t xml:space="preserve"> tonnes C</w:t>
      </w:r>
      <w:r w:rsidR="00C851CD">
        <w:t>O</w:t>
      </w:r>
      <w:r w:rsidRPr="00B40734">
        <w:t xml:space="preserve">2, which reduced to </w:t>
      </w:r>
      <w:r w:rsidR="00FC0EF8">
        <w:t>30,427</w:t>
      </w:r>
      <w:r w:rsidRPr="00B40734">
        <w:t xml:space="preserve"> in</w:t>
      </w:r>
      <w:r w:rsidRPr="00FC0EF8">
        <w:t xml:space="preserve"> </w:t>
      </w:r>
      <w:r w:rsidR="00FC0EF8" w:rsidRPr="00FC0EF8">
        <w:t>2021</w:t>
      </w:r>
      <w:r w:rsidR="00FC0EF8">
        <w:t xml:space="preserve">. </w:t>
      </w:r>
      <w:bookmarkStart w:id="53" w:name="_Hlk205458371"/>
      <w:r w:rsidR="00960AA2">
        <w:t>The most up to date data for 2024 is p</w:t>
      </w:r>
      <w:r w:rsidR="00FC0EF8">
        <w:t xml:space="preserve">rovisional </w:t>
      </w:r>
      <w:r w:rsidR="00960AA2">
        <w:t>and</w:t>
      </w:r>
      <w:r w:rsidR="00FC0EF8">
        <w:t xml:space="preserve"> indicates that DCC improved its energy effi</w:t>
      </w:r>
      <w:r w:rsidR="00E65F40">
        <w:t xml:space="preserve">ciency compared to the baseline by an estimated </w:t>
      </w:r>
      <w:r w:rsidR="00342DB9">
        <w:t>42.2% and</w:t>
      </w:r>
      <w:r w:rsidR="0075137B">
        <w:t xml:space="preserve"> </w:t>
      </w:r>
      <w:r w:rsidR="00E65F40">
        <w:t xml:space="preserve">reduced </w:t>
      </w:r>
      <w:r w:rsidR="004E3FA4">
        <w:t>its</w:t>
      </w:r>
      <w:r w:rsidR="00E65F40">
        <w:t xml:space="preserve"> C</w:t>
      </w:r>
      <w:r w:rsidR="00C851CD">
        <w:t>O</w:t>
      </w:r>
      <w:r w:rsidR="00E65F40">
        <w:t xml:space="preserve">2 by an estimated 32.2% </w:t>
      </w:r>
      <w:r w:rsidR="00E65F40">
        <w:lastRenderedPageBreak/>
        <w:t xml:space="preserve">compared to the baseline.  (Source: </w:t>
      </w:r>
      <w:r w:rsidR="00E65F40" w:rsidRPr="00CB7084">
        <w:t>DCC Climate Change Action Plan 20</w:t>
      </w:r>
      <w:r w:rsidR="00E65F40">
        <w:t>24</w:t>
      </w:r>
      <w:r w:rsidR="00E65F40" w:rsidRPr="00CB7084">
        <w:t>-202</w:t>
      </w:r>
      <w:r w:rsidR="00E65F40">
        <w:t xml:space="preserve">9 – Annual Report 2024) </w:t>
      </w:r>
    </w:p>
    <w:bookmarkEnd w:id="53"/>
    <w:p w14:paraId="2929F520" w14:textId="77777777" w:rsidR="00A238EE" w:rsidRPr="00B40734" w:rsidRDefault="00A238EE" w:rsidP="00A238EE">
      <w:pPr>
        <w:spacing w:before="60" w:after="60"/>
        <w:ind w:left="720"/>
        <w:contextualSpacing/>
        <w:rPr>
          <w:rFonts w:cs="Arial"/>
        </w:rPr>
      </w:pPr>
    </w:p>
    <w:p w14:paraId="49AD954E" w14:textId="2F70E31D" w:rsidR="00A238EE" w:rsidRPr="00B40734" w:rsidRDefault="00A238EE" w:rsidP="00A238EE">
      <w:pPr>
        <w:keepNext/>
        <w:keepLines/>
        <w:numPr>
          <w:ilvl w:val="0"/>
          <w:numId w:val="1"/>
        </w:numPr>
        <w:spacing w:before="60" w:after="60"/>
        <w:ind w:left="714" w:hanging="357"/>
        <w:contextualSpacing/>
        <w:rPr>
          <w:rFonts w:cs="Arial"/>
          <w:i/>
        </w:rPr>
      </w:pPr>
      <w:r w:rsidRPr="00B40734">
        <w:rPr>
          <w:rFonts w:cs="Arial"/>
          <w:i/>
        </w:rPr>
        <w:t xml:space="preserve">Energy </w:t>
      </w:r>
      <w:r w:rsidR="00A24B64" w:rsidRPr="00B40734">
        <w:rPr>
          <w:rFonts w:cs="Arial"/>
          <w:i/>
        </w:rPr>
        <w:t>pe</w:t>
      </w:r>
      <w:r w:rsidR="00A24B64">
        <w:rPr>
          <w:rFonts w:cs="Arial"/>
          <w:i/>
        </w:rPr>
        <w:t>r</w:t>
      </w:r>
      <w:r w:rsidR="00A24B64" w:rsidRPr="00B40734">
        <w:rPr>
          <w:rFonts w:cs="Arial"/>
          <w:i/>
        </w:rPr>
        <w:t>formance.</w:t>
      </w:r>
      <w:r w:rsidRPr="00B40734">
        <w:rPr>
          <w:rFonts w:cs="Arial"/>
          <w:i/>
        </w:rPr>
        <w:t xml:space="preserve"> </w:t>
      </w:r>
    </w:p>
    <w:p w14:paraId="2345B285" w14:textId="77777777" w:rsidR="00A238EE" w:rsidRPr="00B40734" w:rsidRDefault="00A238EE" w:rsidP="00A238EE">
      <w:pPr>
        <w:keepLines/>
      </w:pPr>
    </w:p>
    <w:p w14:paraId="43DE6258" w14:textId="4DE877FB" w:rsidR="00A238EE" w:rsidRPr="00B40734" w:rsidRDefault="003A0951" w:rsidP="00BD079F">
      <w:pPr>
        <w:keepLines/>
        <w:spacing w:line="276" w:lineRule="auto"/>
      </w:pPr>
      <w:r>
        <w:t>In this regard, c</w:t>
      </w:r>
      <w:r w:rsidR="00A238EE" w:rsidRPr="00B40734">
        <w:t>arbon reduction</w:t>
      </w:r>
      <w:r>
        <w:t xml:space="preserve"> is relevant and addressed above</w:t>
      </w:r>
      <w:r w:rsidR="00A238EE" w:rsidRPr="00B40734">
        <w:t xml:space="preserve">. </w:t>
      </w:r>
      <w:r>
        <w:t>More generally, t</w:t>
      </w:r>
      <w:r w:rsidR="00A238EE" w:rsidRPr="00B40734">
        <w:t>he City Council, via development plan policies and the updated climate action plan (</w:t>
      </w:r>
      <w:r w:rsidR="0075137B">
        <w:t>s</w:t>
      </w:r>
      <w:r w:rsidR="00A238EE" w:rsidRPr="00B40734">
        <w:t xml:space="preserve">ee above) is progressing measures to reduce energy usage by reducing waste energy, increasing energy efficiency, and encouraging renewables.  The City Council collaborates continuously with </w:t>
      </w:r>
      <w:proofErr w:type="spellStart"/>
      <w:r w:rsidR="00A238EE" w:rsidRPr="00B40734">
        <w:t>Codema</w:t>
      </w:r>
      <w:proofErr w:type="spellEnd"/>
      <w:r w:rsidR="00A238EE" w:rsidRPr="00B40734">
        <w:t xml:space="preserve"> (Dublin’s energy agency) to progress improvements relating to energy reduction</w:t>
      </w:r>
      <w:bookmarkStart w:id="54" w:name="_Toc178776842"/>
      <w:r w:rsidR="00A238EE" w:rsidRPr="00B40734">
        <w:t>.</w:t>
      </w:r>
    </w:p>
    <w:p w14:paraId="456FB57E" w14:textId="77777777" w:rsidR="00A238EE" w:rsidRPr="00B40734" w:rsidRDefault="00A238EE" w:rsidP="00A238EE">
      <w:pPr>
        <w:spacing w:after="160"/>
        <w:jc w:val="left"/>
      </w:pPr>
      <w:r w:rsidRPr="00B40734">
        <w:br w:type="page"/>
      </w:r>
    </w:p>
    <w:p w14:paraId="69926F59" w14:textId="77777777" w:rsidR="00A238EE" w:rsidRPr="00B40734" w:rsidRDefault="00A238EE" w:rsidP="00A238EE">
      <w:pPr>
        <w:pStyle w:val="Heading2"/>
        <w:numPr>
          <w:ilvl w:val="0"/>
          <w:numId w:val="0"/>
        </w:numPr>
        <w:ind w:left="567" w:hanging="567"/>
      </w:pPr>
      <w:bookmarkStart w:id="55" w:name="_Toc180058956"/>
      <w:r w:rsidRPr="00B40734">
        <w:lastRenderedPageBreak/>
        <w:t>Appendix 1: City Performance Indicator 1(d) – Vacant Land Study Update</w:t>
      </w:r>
      <w:bookmarkEnd w:id="54"/>
      <w:bookmarkEnd w:id="55"/>
    </w:p>
    <w:p w14:paraId="31C69B99" w14:textId="77777777" w:rsidR="00A238EE" w:rsidRPr="00B40734" w:rsidRDefault="00A238EE" w:rsidP="00A238EE">
      <w:pPr>
        <w:rPr>
          <w:lang w:eastAsia="en-IE"/>
        </w:rPr>
      </w:pPr>
    </w:p>
    <w:p w14:paraId="2B4C167F" w14:textId="77777777" w:rsidR="00A238EE" w:rsidRPr="00B40734" w:rsidRDefault="00A238EE" w:rsidP="00A238EE">
      <w:pPr>
        <w:rPr>
          <w:b/>
          <w:lang w:eastAsia="en-IE"/>
        </w:rPr>
      </w:pPr>
      <w:r w:rsidRPr="00B40734">
        <w:rPr>
          <w:b/>
          <w:lang w:eastAsia="en-IE"/>
        </w:rPr>
        <w:t>Residential Zoned Land Tax (RZLT)</w:t>
      </w:r>
    </w:p>
    <w:p w14:paraId="2107DEC7" w14:textId="77777777" w:rsidR="00A238EE" w:rsidRPr="00B40734" w:rsidRDefault="00A238EE" w:rsidP="00A238EE">
      <w:pPr>
        <w:rPr>
          <w:b/>
          <w:lang w:eastAsia="en-IE"/>
        </w:rPr>
      </w:pPr>
    </w:p>
    <w:p w14:paraId="0EA8F938" w14:textId="23322C41" w:rsidR="00F97CD3" w:rsidRPr="00F97CD3" w:rsidRDefault="00F97CD3" w:rsidP="00F97CD3">
      <w:pPr>
        <w:rPr>
          <w:lang w:eastAsia="en-IE"/>
        </w:rPr>
      </w:pPr>
      <w:bookmarkStart w:id="56" w:name="_Hlk205458432"/>
      <w:r w:rsidRPr="00F97CD3">
        <w:rPr>
          <w:lang w:eastAsia="en-IE"/>
        </w:rPr>
        <w:t xml:space="preserve">A </w:t>
      </w:r>
      <w:r w:rsidR="0075137B">
        <w:rPr>
          <w:lang w:eastAsia="en-IE"/>
        </w:rPr>
        <w:t>r</w:t>
      </w:r>
      <w:r w:rsidRPr="00F97CD3">
        <w:rPr>
          <w:lang w:eastAsia="en-IE"/>
        </w:rPr>
        <w:t xml:space="preserve">esidential Zoned Land Tax (RZLT) was introduced in the Finance Act </w:t>
      </w:r>
      <w:r w:rsidR="00713DD3" w:rsidRPr="00F97CD3">
        <w:rPr>
          <w:lang w:eastAsia="en-IE"/>
        </w:rPr>
        <w:t>2021,</w:t>
      </w:r>
      <w:r w:rsidRPr="00F97CD3">
        <w:rPr>
          <w:lang w:eastAsia="en-IE"/>
        </w:rPr>
        <w:t xml:space="preserve"> and this tax will</w:t>
      </w:r>
      <w:r w:rsidR="00FD03DA">
        <w:rPr>
          <w:lang w:eastAsia="en-IE"/>
        </w:rPr>
        <w:t xml:space="preserve"> </w:t>
      </w:r>
      <w:r w:rsidRPr="00F97CD3">
        <w:rPr>
          <w:lang w:eastAsia="en-IE"/>
        </w:rPr>
        <w:t>replace the Vacant Site Levy as an active land management tool.  Like the Vacant Site Levy, the principal purpose of the tax is to encourage the timely activation of zoned and serviced residential development land for housing.</w:t>
      </w:r>
    </w:p>
    <w:p w14:paraId="036D80D6" w14:textId="77777777" w:rsidR="00F97CD3" w:rsidRPr="00F97CD3" w:rsidRDefault="00F97CD3" w:rsidP="00F97CD3">
      <w:pPr>
        <w:rPr>
          <w:lang w:eastAsia="en-IE"/>
        </w:rPr>
      </w:pPr>
      <w:r w:rsidRPr="00F97CD3">
        <w:rPr>
          <w:lang w:eastAsia="en-IE"/>
        </w:rPr>
        <w:t> </w:t>
      </w:r>
    </w:p>
    <w:p w14:paraId="1AF43AA8" w14:textId="710F0C1E" w:rsidR="00F97CD3" w:rsidRPr="00F97CD3" w:rsidRDefault="00F97CD3" w:rsidP="00F97CD3">
      <w:pPr>
        <w:rPr>
          <w:lang w:eastAsia="en-IE"/>
        </w:rPr>
      </w:pPr>
      <w:r w:rsidRPr="00F97CD3">
        <w:rPr>
          <w:lang w:eastAsia="en-IE"/>
        </w:rPr>
        <w:t xml:space="preserve">The tax is an annual tax calculated at a rate of 3% of the market value of land.  The first liability date for the tax </w:t>
      </w:r>
      <w:r w:rsidR="00FD03DA" w:rsidRPr="00C02AF7">
        <w:rPr>
          <w:lang w:eastAsia="en-IE"/>
        </w:rPr>
        <w:t>was</w:t>
      </w:r>
      <w:r w:rsidRPr="00FD03DA">
        <w:rPr>
          <w:color w:val="538135" w:themeColor="accent6" w:themeShade="BF"/>
          <w:lang w:eastAsia="en-IE"/>
        </w:rPr>
        <w:t xml:space="preserve"> </w:t>
      </w:r>
      <w:r w:rsidRPr="00F97CD3">
        <w:rPr>
          <w:lang w:eastAsia="en-IE"/>
        </w:rPr>
        <w:t>deferred from 1st February 2024 to 1st February 2025.  The tax is administered on a self-assessment basis to the Revenue Commissioners. Local Authorities are required to map the lands ‘in scope’ for the tax.  Lands ‘in scope’ applies to land that is both zoned as suitable for residential development and is serviced. </w:t>
      </w:r>
    </w:p>
    <w:p w14:paraId="267AF941" w14:textId="77777777" w:rsidR="00F97CD3" w:rsidRPr="00F97CD3" w:rsidRDefault="00F97CD3" w:rsidP="00F97CD3">
      <w:pPr>
        <w:rPr>
          <w:lang w:eastAsia="en-IE"/>
        </w:rPr>
      </w:pPr>
      <w:r w:rsidRPr="00F97CD3">
        <w:rPr>
          <w:lang w:eastAsia="en-IE"/>
        </w:rPr>
        <w:t> </w:t>
      </w:r>
    </w:p>
    <w:p w14:paraId="56B8EB42" w14:textId="250E7A91" w:rsidR="00F97CD3" w:rsidRPr="00F97CD3" w:rsidRDefault="00F97CD3" w:rsidP="00F97CD3">
      <w:pPr>
        <w:rPr>
          <w:lang w:eastAsia="en-IE"/>
        </w:rPr>
      </w:pPr>
      <w:r w:rsidRPr="00F97CD3">
        <w:rPr>
          <w:lang w:eastAsia="en-IE"/>
        </w:rPr>
        <w:t>Dublin City Council published the annual draft map for the year 2025  in early 2024 ahead of the publication of the revised final map (January 2025) and this can be viewed at </w:t>
      </w:r>
      <w:hyperlink r:id="rId15" w:tgtFrame="_blank" w:tooltip="http://www.dublincity.ie" w:history="1">
        <w:r w:rsidRPr="00F97CD3">
          <w:rPr>
            <w:rStyle w:val="Hyperlink"/>
            <w:lang w:eastAsia="en-IE"/>
          </w:rPr>
          <w:t>www.dublincity.ie</w:t>
        </w:r>
      </w:hyperlink>
      <w:r w:rsidRPr="00F97CD3">
        <w:rPr>
          <w:lang w:eastAsia="en-IE"/>
        </w:rPr>
        <w:t xml:space="preserve"> under the heading ‘active land management’ on the main ‘planning’ </w:t>
      </w:r>
      <w:r w:rsidR="001D19E1">
        <w:rPr>
          <w:lang w:eastAsia="en-IE"/>
        </w:rPr>
        <w:t xml:space="preserve">web </w:t>
      </w:r>
      <w:r w:rsidRPr="00F97CD3">
        <w:rPr>
          <w:lang w:eastAsia="en-IE"/>
        </w:rPr>
        <w:t>page.</w:t>
      </w:r>
    </w:p>
    <w:p w14:paraId="0F26291B" w14:textId="77777777" w:rsidR="00F97CD3" w:rsidRPr="00F97CD3" w:rsidRDefault="00F97CD3" w:rsidP="00F97CD3">
      <w:pPr>
        <w:rPr>
          <w:lang w:eastAsia="en-IE"/>
        </w:rPr>
      </w:pPr>
      <w:r w:rsidRPr="00F97CD3">
        <w:rPr>
          <w:lang w:eastAsia="en-IE"/>
        </w:rPr>
        <w:t> </w:t>
      </w:r>
    </w:p>
    <w:p w14:paraId="4603BA63" w14:textId="6E2425AB" w:rsidR="00F97CD3" w:rsidRPr="00F97CD3" w:rsidRDefault="00F97CD3" w:rsidP="00F97CD3">
      <w:pPr>
        <w:rPr>
          <w:lang w:eastAsia="en-IE"/>
        </w:rPr>
      </w:pPr>
      <w:r w:rsidRPr="00F97CD3">
        <w:rPr>
          <w:lang w:eastAsia="en-IE"/>
        </w:rPr>
        <w:t xml:space="preserve">Landowners / third parties have the opportunity to make submissions on an annual draft map regarding the inclusion in or exclusion from the final map of specific sites, or the date on which a site first satisfied the relevant criteria.  The legislation provides landowners with the opportunity to appeal a Local Authority’s determination on a submission to </w:t>
      </w:r>
      <w:r w:rsidR="00C73561">
        <w:rPr>
          <w:lang w:eastAsia="en-IE"/>
        </w:rPr>
        <w:t xml:space="preserve">An </w:t>
      </w:r>
      <w:proofErr w:type="spellStart"/>
      <w:r w:rsidR="00C73561">
        <w:rPr>
          <w:lang w:eastAsia="en-IE"/>
        </w:rPr>
        <w:t>Coimisiún</w:t>
      </w:r>
      <w:proofErr w:type="spellEnd"/>
      <w:r w:rsidR="00C73561">
        <w:rPr>
          <w:lang w:eastAsia="en-IE"/>
        </w:rPr>
        <w:t xml:space="preserve"> Pleanála</w:t>
      </w:r>
      <w:r w:rsidRPr="00F97CD3">
        <w:rPr>
          <w:lang w:eastAsia="en-IE"/>
        </w:rPr>
        <w:t>. </w:t>
      </w:r>
    </w:p>
    <w:p w14:paraId="1812500B" w14:textId="77777777" w:rsidR="00F97CD3" w:rsidRPr="00F97CD3" w:rsidRDefault="00F97CD3" w:rsidP="00F97CD3">
      <w:pPr>
        <w:rPr>
          <w:lang w:eastAsia="en-IE"/>
        </w:rPr>
      </w:pPr>
      <w:r w:rsidRPr="00F97CD3">
        <w:rPr>
          <w:lang w:eastAsia="en-IE"/>
        </w:rPr>
        <w:t> </w:t>
      </w:r>
    </w:p>
    <w:p w14:paraId="119574F0" w14:textId="204BA438" w:rsidR="00F97CD3" w:rsidRPr="00F97CD3" w:rsidRDefault="00847EBF" w:rsidP="00F97CD3">
      <w:pPr>
        <w:rPr>
          <w:lang w:eastAsia="en-IE"/>
        </w:rPr>
      </w:pPr>
      <w:r>
        <w:rPr>
          <w:lang w:eastAsia="en-IE"/>
        </w:rPr>
        <w:t>L</w:t>
      </w:r>
      <w:r w:rsidR="00F97CD3" w:rsidRPr="00F97CD3">
        <w:rPr>
          <w:lang w:eastAsia="en-IE"/>
        </w:rPr>
        <w:t xml:space="preserve">andowners </w:t>
      </w:r>
      <w:r w:rsidR="007F61E6">
        <w:rPr>
          <w:lang w:eastAsia="en-IE"/>
        </w:rPr>
        <w:t>can</w:t>
      </w:r>
      <w:r w:rsidR="00F97CD3" w:rsidRPr="00F97CD3">
        <w:rPr>
          <w:lang w:eastAsia="en-IE"/>
        </w:rPr>
        <w:t xml:space="preserve"> request the rezoning of land appearing on the map</w:t>
      </w:r>
      <w:r>
        <w:rPr>
          <w:lang w:eastAsia="en-IE"/>
        </w:rPr>
        <w:t xml:space="preserve"> f</w:t>
      </w:r>
      <w:r w:rsidRPr="00F97CD3">
        <w:rPr>
          <w:lang w:eastAsia="en-IE"/>
        </w:rPr>
        <w:t>or the years 2024/2025 only</w:t>
      </w:r>
      <w:r w:rsidR="00F97CD3" w:rsidRPr="00F97CD3">
        <w:rPr>
          <w:lang w:eastAsia="en-IE"/>
        </w:rPr>
        <w:t xml:space="preserve">. </w:t>
      </w:r>
    </w:p>
    <w:p w14:paraId="2DB3E4D8" w14:textId="77777777" w:rsidR="00F97CD3" w:rsidRPr="00F97CD3" w:rsidRDefault="00F97CD3" w:rsidP="00F97CD3">
      <w:pPr>
        <w:rPr>
          <w:lang w:eastAsia="en-IE"/>
        </w:rPr>
      </w:pPr>
      <w:r w:rsidRPr="00F97CD3">
        <w:rPr>
          <w:lang w:eastAsia="en-IE"/>
        </w:rPr>
        <w:t> </w:t>
      </w:r>
    </w:p>
    <w:p w14:paraId="695EFB26" w14:textId="529A9EE3" w:rsidR="00F97CD3" w:rsidRPr="00F97CD3" w:rsidRDefault="007F61E6" w:rsidP="00F97CD3">
      <w:pPr>
        <w:rPr>
          <w:lang w:eastAsia="en-IE"/>
        </w:rPr>
      </w:pPr>
      <w:r>
        <w:rPr>
          <w:lang w:eastAsia="en-IE"/>
        </w:rPr>
        <w:t>A</w:t>
      </w:r>
      <w:r w:rsidR="00F97CD3" w:rsidRPr="00F97CD3">
        <w:rPr>
          <w:lang w:eastAsia="en-IE"/>
        </w:rPr>
        <w:t>lthough they are included on the map, residential properties are not subject to RZLT if they are subject to Local Property Tax. </w:t>
      </w:r>
    </w:p>
    <w:p w14:paraId="7BD5C1FC" w14:textId="77777777" w:rsidR="00F97CD3" w:rsidRPr="00F97CD3" w:rsidRDefault="00F97CD3" w:rsidP="00F97CD3">
      <w:pPr>
        <w:rPr>
          <w:lang w:eastAsia="en-IE"/>
        </w:rPr>
      </w:pPr>
      <w:r w:rsidRPr="00F97CD3">
        <w:rPr>
          <w:lang w:eastAsia="en-IE"/>
        </w:rPr>
        <w:t> </w:t>
      </w:r>
    </w:p>
    <w:bookmarkEnd w:id="56"/>
    <w:p w14:paraId="771533E2" w14:textId="77777777" w:rsidR="00A238EE" w:rsidRPr="00B40734" w:rsidRDefault="00A238EE" w:rsidP="00A238EE">
      <w:pPr>
        <w:rPr>
          <w:lang w:eastAsia="en-IE"/>
        </w:rPr>
      </w:pPr>
    </w:p>
    <w:p w14:paraId="21B2E66E" w14:textId="77777777" w:rsidR="00A238EE" w:rsidRDefault="00A238EE" w:rsidP="00A238EE">
      <w:pPr>
        <w:pStyle w:val="Heading2"/>
        <w:numPr>
          <w:ilvl w:val="0"/>
          <w:numId w:val="0"/>
        </w:numPr>
        <w:ind w:left="567" w:hanging="567"/>
      </w:pPr>
      <w:bookmarkStart w:id="57" w:name="_Toc178776843"/>
      <w:bookmarkStart w:id="58" w:name="_Toc180058957"/>
      <w:r w:rsidRPr="00B40734">
        <w:t>Appendix 2: City Performance Indicator 7(d) – Dublin’s International Rankings</w:t>
      </w:r>
      <w:bookmarkEnd w:id="57"/>
      <w:bookmarkEnd w:id="58"/>
    </w:p>
    <w:p w14:paraId="538F7C79" w14:textId="77777777" w:rsidR="007F61E6" w:rsidRPr="007F61E6" w:rsidRDefault="007F61E6" w:rsidP="007F61E6">
      <w:pPr>
        <w:rPr>
          <w:lang w:val="en-GB"/>
        </w:rPr>
      </w:pPr>
    </w:p>
    <w:p w14:paraId="12D8ABCE" w14:textId="63980347" w:rsidR="00A238EE" w:rsidRPr="00BF424B" w:rsidRDefault="00BF424B" w:rsidP="00A238EE">
      <w:pPr>
        <w:rPr>
          <w:iCs/>
        </w:rPr>
      </w:pPr>
      <w:bookmarkStart w:id="59" w:name="_Hlk205458495"/>
      <w:r w:rsidRPr="00BF424B">
        <w:rPr>
          <w:iCs/>
        </w:rPr>
        <w:t>The t</w:t>
      </w:r>
      <w:r w:rsidR="00A238EE" w:rsidRPr="00BF424B">
        <w:rPr>
          <w:iCs/>
        </w:rPr>
        <w:t xml:space="preserve">ext </w:t>
      </w:r>
      <w:r w:rsidR="0007006C">
        <w:rPr>
          <w:iCs/>
        </w:rPr>
        <w:t xml:space="preserve">below </w:t>
      </w:r>
      <w:r w:rsidR="00A238EE" w:rsidRPr="00BF424B">
        <w:rPr>
          <w:iCs/>
        </w:rPr>
        <w:t>is from ‘Dublin Economic Monitor’, (</w:t>
      </w:r>
      <w:r w:rsidRPr="00BF424B">
        <w:rPr>
          <w:iCs/>
        </w:rPr>
        <w:t>March 2025</w:t>
      </w:r>
      <w:r w:rsidR="00A238EE" w:rsidRPr="00BF424B">
        <w:rPr>
          <w:iCs/>
        </w:rPr>
        <w:t xml:space="preserve"> issue)</w:t>
      </w:r>
      <w:r w:rsidRPr="00BF424B">
        <w:rPr>
          <w:iCs/>
        </w:rPr>
        <w:t xml:space="preserve"> </w:t>
      </w:r>
      <w:hyperlink r:id="rId16" w:history="1">
        <w:r w:rsidRPr="00BF424B">
          <w:rPr>
            <w:rStyle w:val="Hyperlink"/>
            <w:iCs/>
          </w:rPr>
          <w:t>Latest Dublin Economic Monitor Shows the Economy Remained Resolute in Q4 | Dublin Economic Monitor</w:t>
        </w:r>
      </w:hyperlink>
      <w:r w:rsidR="00106BB6">
        <w:rPr>
          <w:iCs/>
        </w:rPr>
        <w:t xml:space="preserve">. </w:t>
      </w:r>
      <w:r w:rsidRPr="00BF424B">
        <w:rPr>
          <w:iCs/>
        </w:rPr>
        <w:t>This is the most comparable period for the 2024 period.</w:t>
      </w:r>
    </w:p>
    <w:p w14:paraId="1D43C3E5" w14:textId="77777777" w:rsidR="00A238EE" w:rsidRPr="00B40734" w:rsidRDefault="00A238EE" w:rsidP="00A238EE">
      <w:pPr>
        <w:rPr>
          <w:b/>
        </w:rPr>
      </w:pPr>
    </w:p>
    <w:p w14:paraId="78C96991" w14:textId="7EE0F960" w:rsidR="00A238EE" w:rsidRPr="001F3DD8" w:rsidRDefault="00BF424B" w:rsidP="001F3DD8">
      <w:pPr>
        <w:rPr>
          <w:bCs/>
          <w:u w:val="single"/>
        </w:rPr>
      </w:pPr>
      <w:r w:rsidRPr="001F3DD8">
        <w:rPr>
          <w:bCs/>
          <w:u w:val="single"/>
        </w:rPr>
        <w:t xml:space="preserve">Quality of </w:t>
      </w:r>
      <w:r w:rsidR="00A238EE" w:rsidRPr="001F3DD8">
        <w:rPr>
          <w:bCs/>
          <w:u w:val="single"/>
        </w:rPr>
        <w:t>Livi</w:t>
      </w:r>
      <w:r w:rsidRPr="001F3DD8">
        <w:rPr>
          <w:bCs/>
          <w:u w:val="single"/>
        </w:rPr>
        <w:t>ng</w:t>
      </w:r>
    </w:p>
    <w:p w14:paraId="61E3E472" w14:textId="0142679D" w:rsidR="00A238EE" w:rsidRDefault="00A238EE" w:rsidP="001F3DD8">
      <w:r w:rsidRPr="00CB7084">
        <w:t>Mercer’s 2024 Quality of Living city ranking placed Dublin in 43rd position, down on</w:t>
      </w:r>
      <w:r w:rsidR="00C851CD">
        <w:t>e</w:t>
      </w:r>
      <w:r w:rsidRPr="00CB7084">
        <w:t xml:space="preserve"> place on 2023 but still within the top 30 cities in Europe. Noel O’Connor, Principal of Mercer Ireland, outlined how "Dublin’s strong position in this year’s index, 26th in western Europe and 43rd globally, once again demonstrates its attractiveness as a destination for expatriates”. The report also demonstrated Dublin’s characterisation as a city where a high cost of living (41st globally) is counterbalanced by its similar ranking for quality of living. The Capital has also been ranked in 41st position in Resonance’s World’s Best Cities report for 2025. The ranking highlighted how Dublin achieved a Top 25 spot in the overall Prosperity index, including 18th position for Fortune 500 firms located in the city. According to Resonance, “the magnetism is obvious in places like the Docklands area, called Silicon Docks, home to big tech and digital players including Alphabet, Meta, Amazon, Apple and Airbnb […] They come for some of the world’s lowest corporate taxes and stay for homegrown economic development initiatives like Ireland’s Local Enterprise </w:t>
      </w:r>
      <w:r w:rsidRPr="00CB7084">
        <w:lastRenderedPageBreak/>
        <w:t>Office’s mentoring, training and financial grants.” Dublin’s universities, cultural amenities, and nightlife were cited as strengths, though affordability remains a challenge.</w:t>
      </w:r>
    </w:p>
    <w:p w14:paraId="7F770029" w14:textId="77777777" w:rsidR="001F3DD8" w:rsidRPr="001F3DD8" w:rsidRDefault="001F3DD8" w:rsidP="001F3DD8">
      <w:pPr>
        <w:rPr>
          <w:bCs/>
        </w:rPr>
      </w:pPr>
    </w:p>
    <w:p w14:paraId="7EBFE485" w14:textId="17CBD66F" w:rsidR="00A238EE" w:rsidRPr="001F3DD8" w:rsidRDefault="00A238EE" w:rsidP="001F3DD8">
      <w:pPr>
        <w:rPr>
          <w:u w:val="single"/>
        </w:rPr>
      </w:pPr>
      <w:r w:rsidRPr="001F3DD8">
        <w:rPr>
          <w:u w:val="single"/>
        </w:rPr>
        <w:t xml:space="preserve">Cost of Living </w:t>
      </w:r>
    </w:p>
    <w:p w14:paraId="22AEACDE" w14:textId="054F385B" w:rsidR="00A238EE" w:rsidRDefault="00A238EE" w:rsidP="001F3DD8">
      <w:r w:rsidRPr="00CB7084">
        <w:t xml:space="preserve">Cost of living comparison website, </w:t>
      </w:r>
      <w:proofErr w:type="spellStart"/>
      <w:r w:rsidRPr="00CB7084">
        <w:t>Numbeo</w:t>
      </w:r>
      <w:proofErr w:type="spellEnd"/>
      <w:r w:rsidRPr="00CB7084">
        <w:t>, has found Dublin to be the 19th most expensive city in Europe in which to live. Rental costs were a key driver with Dublin ranking 4th most expensive – behind only London, Zurich and Geneva. Dublin’s restaurant price index reading placed it at 18th in Europe, comparing favourably to London (12th) and Amsterdam (15th) but more expensive than Cork (23rd) and Belfast (24th).</w:t>
      </w:r>
    </w:p>
    <w:p w14:paraId="75DB53CF" w14:textId="77777777" w:rsidR="001F3DD8" w:rsidRPr="00CB7084" w:rsidRDefault="001F3DD8" w:rsidP="001F3DD8"/>
    <w:p w14:paraId="39F34FE0" w14:textId="77777777" w:rsidR="00BF424B" w:rsidRPr="001F3DD8" w:rsidRDefault="00A238EE" w:rsidP="001F3DD8">
      <w:pPr>
        <w:rPr>
          <w:u w:val="single"/>
        </w:rPr>
      </w:pPr>
      <w:r w:rsidRPr="001F3DD8">
        <w:rPr>
          <w:u w:val="single"/>
        </w:rPr>
        <w:t>C</w:t>
      </w:r>
      <w:r w:rsidR="00BF424B" w:rsidRPr="001F3DD8">
        <w:rPr>
          <w:u w:val="single"/>
        </w:rPr>
        <w:t>ongestion</w:t>
      </w:r>
      <w:r w:rsidRPr="001F3DD8">
        <w:rPr>
          <w:u w:val="single"/>
        </w:rPr>
        <w:t xml:space="preserve"> Issues </w:t>
      </w:r>
    </w:p>
    <w:p w14:paraId="222A7F84" w14:textId="153D4187" w:rsidR="00A238EE" w:rsidRPr="00B40734" w:rsidRDefault="00BF424B" w:rsidP="001F3DD8">
      <w:r w:rsidRPr="001F3DD8">
        <w:rPr>
          <w:rFonts w:cs="Arial"/>
        </w:rPr>
        <w:t xml:space="preserve">Traffic congestion in Dublin remained an issue in 2024. The Capital was the third most congested city in Europe, and the 15th most congested in the world according to </w:t>
      </w:r>
      <w:proofErr w:type="spellStart"/>
      <w:r w:rsidRPr="001F3DD8">
        <w:rPr>
          <w:rFonts w:cs="Arial"/>
        </w:rPr>
        <w:t>Inrix</w:t>
      </w:r>
      <w:proofErr w:type="spellEnd"/>
      <w:r w:rsidRPr="001F3DD8">
        <w:rPr>
          <w:rFonts w:cs="Arial"/>
        </w:rPr>
        <w:t xml:space="preserve">, a transport data and analytics company. It moved up one place from 16th in the global congestion rankings as drivers were delayed by an average of 81 hours due to congestion in the city in 2024, a 13% YoY increase. Traffic delay times in the city had increased in each of the past three years. </w:t>
      </w:r>
      <w:r w:rsidR="002063E0">
        <w:rPr>
          <w:rFonts w:cs="Arial"/>
        </w:rPr>
        <w:t>T</w:t>
      </w:r>
      <w:r w:rsidRPr="001F3DD8">
        <w:rPr>
          <w:rFonts w:cs="Arial"/>
        </w:rPr>
        <w:t xml:space="preserve">he research found Istanbul to be the most congested city globally (105 hours). </w:t>
      </w:r>
      <w:r w:rsidR="00A238EE" w:rsidRPr="001F3DD8">
        <w:rPr>
          <w:rFonts w:cs="Arial"/>
        </w:rPr>
        <w:br w:type="page"/>
      </w:r>
    </w:p>
    <w:bookmarkEnd w:id="59"/>
    <w:p w14:paraId="536AADA3" w14:textId="77777777" w:rsidR="00A238EE" w:rsidRPr="00B40734" w:rsidRDefault="00A238EE" w:rsidP="00A238EE">
      <w:pPr>
        <w:spacing w:after="160"/>
        <w:jc w:val="left"/>
        <w:rPr>
          <w:sz w:val="2"/>
          <w:szCs w:val="2"/>
        </w:rPr>
      </w:pPr>
    </w:p>
    <w:p w14:paraId="3E943961" w14:textId="77777777" w:rsidR="00A238EE" w:rsidRPr="00B40734" w:rsidRDefault="00A238EE" w:rsidP="00A238EE">
      <w:pPr>
        <w:spacing w:after="160"/>
        <w:jc w:val="left"/>
        <w:rPr>
          <w:rFonts w:cs="Arial"/>
          <w:sz w:val="2"/>
          <w:szCs w:val="2"/>
        </w:rPr>
        <w:sectPr w:rsidR="00A238EE" w:rsidRPr="00B40734" w:rsidSect="00A238EE">
          <w:type w:val="continuous"/>
          <w:pgSz w:w="16838" w:h="11906" w:orient="landscape"/>
          <w:pgMar w:top="1440" w:right="1440" w:bottom="1440" w:left="1440" w:header="708" w:footer="708" w:gutter="0"/>
          <w:cols w:num="2" w:space="708"/>
          <w:titlePg/>
          <w:docGrid w:linePitch="360"/>
        </w:sectPr>
      </w:pPr>
    </w:p>
    <w:p w14:paraId="576A1F0B" w14:textId="77777777" w:rsidR="00A238EE" w:rsidRDefault="00A238EE" w:rsidP="00190B58">
      <w:pPr>
        <w:pStyle w:val="Heading2"/>
        <w:numPr>
          <w:ilvl w:val="0"/>
          <w:numId w:val="0"/>
        </w:numPr>
      </w:pPr>
      <w:bookmarkStart w:id="60" w:name="_Toc178776844"/>
      <w:bookmarkStart w:id="61" w:name="_Toc180058958"/>
      <w:r w:rsidRPr="00B40734">
        <w:t>Appendix 3: URDF Funding Received</w:t>
      </w:r>
      <w:bookmarkEnd w:id="60"/>
      <w:bookmarkEnd w:id="61"/>
    </w:p>
    <w:p w14:paraId="1EF3D6FD" w14:textId="77777777" w:rsidR="007F61E6" w:rsidRPr="007F61E6" w:rsidRDefault="007F61E6" w:rsidP="007F61E6">
      <w:pPr>
        <w:rPr>
          <w:lang w:val="en-GB"/>
        </w:rPr>
      </w:pPr>
    </w:p>
    <w:p w14:paraId="45C43BF9" w14:textId="006FC538" w:rsidR="00A238EE" w:rsidRPr="00CB7084" w:rsidRDefault="00A238EE" w:rsidP="00A238EE">
      <w:pPr>
        <w:spacing w:line="240" w:lineRule="auto"/>
        <w:rPr>
          <w:rFonts w:cs="Arial"/>
        </w:rPr>
      </w:pPr>
      <w:bookmarkStart w:id="62" w:name="_Hlk205458609"/>
      <w:r w:rsidRPr="00CB7084">
        <w:rPr>
          <w:rFonts w:cs="Arial"/>
          <w:shd w:val="clear" w:color="auto" w:fill="FFFFFF"/>
        </w:rPr>
        <w:t xml:space="preserve">As </w:t>
      </w:r>
      <w:r w:rsidR="001F3DD8">
        <w:rPr>
          <w:rFonts w:cs="Arial"/>
          <w:shd w:val="clear" w:color="auto" w:fill="FFFFFF"/>
        </w:rPr>
        <w:t>of December 2024</w:t>
      </w:r>
      <w:r w:rsidR="00FD6D1A">
        <w:rPr>
          <w:rFonts w:cs="Arial"/>
          <w:shd w:val="clear" w:color="auto" w:fill="FFFFFF"/>
        </w:rPr>
        <w:t xml:space="preserve">, </w:t>
      </w:r>
      <w:r w:rsidRPr="00CB7084">
        <w:rPr>
          <w:rFonts w:cs="Arial"/>
          <w:shd w:val="clear" w:color="auto" w:fill="FFFFFF"/>
        </w:rPr>
        <w:t xml:space="preserve">Call 2 of the URDF </w:t>
      </w:r>
      <w:r w:rsidRPr="00CB7084">
        <w:rPr>
          <w:rFonts w:cs="Arial"/>
        </w:rPr>
        <w:t>funding for DCC projects</w:t>
      </w:r>
      <w:r w:rsidRPr="00CB7084">
        <w:rPr>
          <w:rFonts w:cs="Arial"/>
          <w:shd w:val="clear" w:color="auto" w:fill="FFFFFF"/>
        </w:rPr>
        <w:t xml:space="preserve"> was awarded to assist in the regeneration of several areas</w:t>
      </w:r>
      <w:r w:rsidR="000E3BA0">
        <w:rPr>
          <w:rFonts w:cs="Arial"/>
          <w:shd w:val="clear" w:color="auto" w:fill="FFFFFF"/>
        </w:rPr>
        <w:t>, including parts of</w:t>
      </w:r>
      <w:r w:rsidRPr="00CB7084">
        <w:rPr>
          <w:rFonts w:cs="Arial"/>
          <w:shd w:val="clear" w:color="auto" w:fill="FFFFFF"/>
        </w:rPr>
        <w:t xml:space="preserve"> the North Inner City (€125.5m) and the South Inner City (€45.1m). </w:t>
      </w:r>
      <w:r w:rsidRPr="00CB7084">
        <w:rPr>
          <w:rFonts w:cs="Arial"/>
        </w:rPr>
        <w:t xml:space="preserve">This </w:t>
      </w:r>
      <w:r w:rsidRPr="00CB7084">
        <w:rPr>
          <w:rFonts w:cs="Arial"/>
          <w:shd w:val="clear" w:color="auto" w:fill="FFFFFF"/>
        </w:rPr>
        <w:t xml:space="preserve">allocation of </w:t>
      </w:r>
      <w:r w:rsidRPr="00CB7084">
        <w:rPr>
          <w:rFonts w:cs="Arial"/>
          <w:b/>
          <w:shd w:val="clear" w:color="auto" w:fill="FFFFFF"/>
        </w:rPr>
        <w:t>€170.6m</w:t>
      </w:r>
      <w:r w:rsidRPr="00CB7084">
        <w:rPr>
          <w:rFonts w:cs="Arial"/>
          <w:shd w:val="clear" w:color="auto" w:fill="FFFFFF"/>
        </w:rPr>
        <w:t xml:space="preserve"> </w:t>
      </w:r>
      <w:r w:rsidRPr="00CB7084">
        <w:rPr>
          <w:rFonts w:cs="Arial"/>
        </w:rPr>
        <w:t xml:space="preserve">in approved funding is in addition to </w:t>
      </w:r>
      <w:r w:rsidRPr="00CB7084">
        <w:rPr>
          <w:rFonts w:cs="Arial"/>
          <w:shd w:val="clear" w:color="auto" w:fill="FFFFFF"/>
        </w:rPr>
        <w:t>six</w:t>
      </w:r>
      <w:r w:rsidRPr="00CB7084">
        <w:rPr>
          <w:rFonts w:cs="Arial"/>
        </w:rPr>
        <w:t xml:space="preserve"> projects with approved URDF funding totalling </w:t>
      </w:r>
      <w:r w:rsidRPr="00CB7084">
        <w:rPr>
          <w:rFonts w:cs="Arial"/>
          <w:b/>
          <w:shd w:val="clear" w:color="auto" w:fill="FFFFFF"/>
        </w:rPr>
        <w:t>€17.8m</w:t>
      </w:r>
      <w:r w:rsidRPr="00CB7084">
        <w:rPr>
          <w:rFonts w:cs="Arial"/>
          <w:shd w:val="clear" w:color="auto" w:fill="FFFFFF"/>
        </w:rPr>
        <w:t xml:space="preserve"> </w:t>
      </w:r>
      <w:r w:rsidRPr="00CB7084">
        <w:rPr>
          <w:rFonts w:cs="Arial"/>
        </w:rPr>
        <w:t xml:space="preserve">under the earlier ‘Call 1’. </w:t>
      </w:r>
    </w:p>
    <w:p w14:paraId="143D9C5F" w14:textId="77777777" w:rsidR="00A238EE" w:rsidRPr="00CB7084" w:rsidRDefault="00A238EE" w:rsidP="00A238EE">
      <w:pPr>
        <w:spacing w:line="240" w:lineRule="auto"/>
        <w:rPr>
          <w:rFonts w:cs="Arial"/>
        </w:rPr>
      </w:pPr>
    </w:p>
    <w:p w14:paraId="1AA4A4FB" w14:textId="77777777" w:rsidR="00A238EE" w:rsidRPr="00CB7084" w:rsidRDefault="00A238EE" w:rsidP="00A238EE">
      <w:pPr>
        <w:spacing w:line="240" w:lineRule="auto"/>
        <w:rPr>
          <w:rFonts w:cs="Arial"/>
          <w:shd w:val="clear" w:color="auto" w:fill="EDECE5"/>
        </w:rPr>
      </w:pPr>
      <w:r w:rsidRPr="00CB7084">
        <w:rPr>
          <w:rFonts w:cs="Arial"/>
        </w:rPr>
        <w:t xml:space="preserve">A breakdown of the specific projects funded under Call 2 is provided below.  </w:t>
      </w:r>
      <w:r w:rsidRPr="00CB7084">
        <w:rPr>
          <w:rFonts w:cs="Arial"/>
          <w:shd w:val="clear" w:color="auto" w:fill="FFFFFF"/>
        </w:rPr>
        <w:t>The aim for the City is to provide a coordinated area based urban regeneration in order to achieve economic and compact urban growth, enhance connectivity and mobility, build social and cultural amenities and ensure climate resilience and sustainability.  This will be achieved by the consolidation of sustainable urban development through the delivery of a series of complementary public realm and regeneration projects.</w:t>
      </w:r>
    </w:p>
    <w:p w14:paraId="3959FB10" w14:textId="77777777" w:rsidR="00A238EE" w:rsidRPr="00CB7084" w:rsidRDefault="00A238EE" w:rsidP="00A238EE">
      <w:pPr>
        <w:spacing w:line="240" w:lineRule="auto"/>
        <w:rPr>
          <w:rFonts w:cs="Arial"/>
        </w:rPr>
      </w:pPr>
    </w:p>
    <w:p w14:paraId="4C017266" w14:textId="77777777" w:rsidR="00A238EE" w:rsidRPr="00CB7084" w:rsidRDefault="00A238EE" w:rsidP="00A238EE">
      <w:pPr>
        <w:spacing w:line="240" w:lineRule="auto"/>
      </w:pPr>
      <w:r w:rsidRPr="00CB7084">
        <w:rPr>
          <w:rStyle w:val="Strong"/>
          <w:rFonts w:cs="Arial"/>
        </w:rPr>
        <w:t xml:space="preserve">North Inner City Concept Area 1 (Dublin City Council) - </w:t>
      </w:r>
      <w:r w:rsidRPr="00CB7084">
        <w:rPr>
          <w:rFonts w:cs="Arial"/>
          <w:b/>
          <w:shd w:val="clear" w:color="auto" w:fill="FFFFFF"/>
        </w:rPr>
        <w:t>€125.5m</w:t>
      </w:r>
    </w:p>
    <w:p w14:paraId="6E8E87DF" w14:textId="0B8B63EE" w:rsidR="00A238EE" w:rsidRPr="00CB7084" w:rsidRDefault="00A238EE" w:rsidP="00A238EE">
      <w:pPr>
        <w:pStyle w:val="NormalWeb"/>
        <w:shd w:val="clear" w:color="auto" w:fill="FFFFFF"/>
        <w:spacing w:before="0" w:beforeAutospacing="0" w:after="0" w:afterAutospacing="0"/>
        <w:rPr>
          <w:rFonts w:ascii="Arial" w:hAnsi="Arial" w:cs="Arial"/>
          <w:sz w:val="22"/>
          <w:szCs w:val="22"/>
        </w:rPr>
      </w:pPr>
      <w:r w:rsidRPr="00CB7084">
        <w:rPr>
          <w:rFonts w:ascii="Arial" w:hAnsi="Arial" w:cs="Arial"/>
          <w:sz w:val="22"/>
          <w:szCs w:val="22"/>
          <w:shd w:val="clear" w:color="auto" w:fill="FFFFFF"/>
        </w:rPr>
        <w:t xml:space="preserve">This significant integrated urban development and </w:t>
      </w:r>
      <w:r w:rsidR="00A24B64" w:rsidRPr="00CB7084">
        <w:rPr>
          <w:rFonts w:ascii="Arial" w:hAnsi="Arial" w:cs="Arial"/>
          <w:sz w:val="22"/>
          <w:szCs w:val="22"/>
          <w:shd w:val="clear" w:color="auto" w:fill="FFFFFF"/>
        </w:rPr>
        <w:t>area-based</w:t>
      </w:r>
      <w:r w:rsidRPr="00CB7084">
        <w:rPr>
          <w:rFonts w:ascii="Arial" w:hAnsi="Arial" w:cs="Arial"/>
          <w:sz w:val="22"/>
          <w:szCs w:val="22"/>
          <w:shd w:val="clear" w:color="auto" w:fill="FFFFFF"/>
        </w:rPr>
        <w:t xml:space="preserve"> regeneration project for Dublin’s north inner city was awarded €125.5m URDF provisional funding towards a series of complementary sub projects, interlinked with current and planned transport routes and spatially clustered in 4 hubs:</w:t>
      </w:r>
      <w:r w:rsidRPr="00CB7084">
        <w:rPr>
          <w:rFonts w:ascii="Arial" w:hAnsi="Arial" w:cs="Arial"/>
          <w:sz w:val="22"/>
          <w:szCs w:val="22"/>
        </w:rPr>
        <w:t xml:space="preserve"> </w:t>
      </w:r>
    </w:p>
    <w:p w14:paraId="6CFF6787" w14:textId="77777777" w:rsidR="00A238EE" w:rsidRPr="00CB7084" w:rsidRDefault="00A238EE" w:rsidP="00A238EE">
      <w:pPr>
        <w:pStyle w:val="NormalWeb"/>
        <w:shd w:val="clear" w:color="auto" w:fill="FFFFFF"/>
        <w:spacing w:before="0" w:beforeAutospacing="0" w:after="0" w:afterAutospacing="0"/>
        <w:rPr>
          <w:rFonts w:ascii="Arial" w:hAnsi="Arial" w:cs="Arial"/>
          <w:sz w:val="22"/>
          <w:szCs w:val="22"/>
        </w:rPr>
      </w:pPr>
    </w:p>
    <w:p w14:paraId="28A70952" w14:textId="5C9116F7" w:rsidR="00953B1A" w:rsidRDefault="00A238EE" w:rsidP="00A238EE">
      <w:pPr>
        <w:spacing w:line="240" w:lineRule="auto"/>
      </w:pPr>
      <w:r w:rsidRPr="00190B58">
        <w:rPr>
          <w:rStyle w:val="Strong"/>
          <w:rFonts w:cs="Arial"/>
          <w:b w:val="0"/>
          <w:bCs w:val="0"/>
          <w:u w:val="single"/>
          <w:shd w:val="clear" w:color="auto" w:fill="FFFFFF"/>
        </w:rPr>
        <w:t>Parnell Square</w:t>
      </w:r>
      <w:r w:rsidRPr="00CB7084">
        <w:rPr>
          <w:rStyle w:val="Strong"/>
          <w:rFonts w:cs="Arial"/>
          <w:shd w:val="clear" w:color="auto" w:fill="FFFFFF"/>
        </w:rPr>
        <w:t xml:space="preserve"> -</w:t>
      </w:r>
      <w:r w:rsidRPr="00CB7084">
        <w:rPr>
          <w:rFonts w:cs="Arial"/>
        </w:rPr>
        <w:t xml:space="preserve"> </w:t>
      </w:r>
      <w:r w:rsidR="00482264">
        <w:rPr>
          <w:rFonts w:cs="Arial"/>
        </w:rPr>
        <w:t>P</w:t>
      </w:r>
      <w:r w:rsidRPr="00CB7084">
        <w:rPr>
          <w:rFonts w:cs="Arial"/>
        </w:rPr>
        <w:t xml:space="preserve">hase 1 of the </w:t>
      </w:r>
      <w:r w:rsidRPr="00CB7084">
        <w:rPr>
          <w:rFonts w:cs="Arial"/>
          <w:shd w:val="clear" w:color="auto" w:fill="FFFFFF"/>
        </w:rPr>
        <w:t>Parnell Square Cultural Quarter will deliver 11,000sq.m of cultural facilitates</w:t>
      </w:r>
      <w:r w:rsidR="00953B1A">
        <w:rPr>
          <w:rFonts w:cs="Arial"/>
          <w:shd w:val="clear" w:color="auto" w:fill="FFFFFF"/>
        </w:rPr>
        <w:t>,</w:t>
      </w:r>
      <w:r w:rsidRPr="00CB7084">
        <w:rPr>
          <w:rFonts w:cs="Arial"/>
          <w:shd w:val="clear" w:color="auto" w:fill="FFFFFF"/>
        </w:rPr>
        <w:t xml:space="preserve"> the centre piece of which will be</w:t>
      </w:r>
      <w:r w:rsidR="00364DFF">
        <w:rPr>
          <w:rFonts w:cs="Arial"/>
          <w:shd w:val="clear" w:color="auto" w:fill="FFFFFF"/>
        </w:rPr>
        <w:t xml:space="preserve"> a</w:t>
      </w:r>
      <w:r w:rsidRPr="00CB7084">
        <w:rPr>
          <w:rFonts w:cs="Arial"/>
          <w:shd w:val="clear" w:color="auto" w:fill="FFFFFF"/>
        </w:rPr>
        <w:t xml:space="preserve"> new City Library and a range of cultural facilities</w:t>
      </w:r>
      <w:r w:rsidR="00953B1A">
        <w:rPr>
          <w:rFonts w:cs="Arial"/>
          <w:shd w:val="clear" w:color="auto" w:fill="FFFFFF"/>
        </w:rPr>
        <w:t>.</w:t>
      </w:r>
      <w:r w:rsidRPr="00CB7084">
        <w:rPr>
          <w:rFonts w:cs="Arial"/>
          <w:shd w:val="clear" w:color="auto" w:fill="FFFFFF"/>
        </w:rPr>
        <w:t xml:space="preserve"> </w:t>
      </w:r>
      <w:r w:rsidRPr="00CB7084">
        <w:t xml:space="preserve">Parnell Square Public Realm works </w:t>
      </w:r>
      <w:r w:rsidR="00953B1A">
        <w:t>will</w:t>
      </w:r>
      <w:r w:rsidRPr="00CB7084">
        <w:t xml:space="preserve"> create a civic space to link the Parnell Square Cultural Quarter buildings</w:t>
      </w:r>
      <w:r w:rsidR="00953B1A">
        <w:t>.</w:t>
      </w:r>
      <w:r w:rsidRPr="00CB7084">
        <w:t xml:space="preserve"> </w:t>
      </w:r>
      <w:r w:rsidR="00953B1A">
        <w:t xml:space="preserve">Other works </w:t>
      </w:r>
      <w:r w:rsidR="005C51DE">
        <w:t>include…</w:t>
      </w:r>
    </w:p>
    <w:p w14:paraId="629949E5" w14:textId="77777777" w:rsidR="00953B1A" w:rsidRDefault="00953B1A" w:rsidP="00A238EE">
      <w:pPr>
        <w:spacing w:line="240" w:lineRule="auto"/>
      </w:pPr>
    </w:p>
    <w:p w14:paraId="05D35F1F" w14:textId="23615D4D" w:rsidR="00953B1A" w:rsidRDefault="00A238EE" w:rsidP="00A238EE">
      <w:pPr>
        <w:spacing w:line="240" w:lineRule="auto"/>
      </w:pPr>
      <w:r w:rsidRPr="00CB7084">
        <w:t>41 Parnell Square</w:t>
      </w:r>
      <w:r w:rsidR="00953B1A">
        <w:t>;</w:t>
      </w:r>
      <w:r w:rsidRPr="00CB7084">
        <w:t xml:space="preserve"> acquisition and refurbishment of a protected structure</w:t>
      </w:r>
      <w:r w:rsidR="00953B1A">
        <w:t>.</w:t>
      </w:r>
    </w:p>
    <w:p w14:paraId="0156C127" w14:textId="486FC0D8" w:rsidR="00953B1A" w:rsidRDefault="00A238EE" w:rsidP="00A238EE">
      <w:pPr>
        <w:spacing w:line="240" w:lineRule="auto"/>
      </w:pPr>
      <w:r w:rsidRPr="00CB7084">
        <w:t>Moore Street Public Realm Renewal works; structural and restoration works to 4 houses</w:t>
      </w:r>
      <w:r w:rsidR="00953B1A">
        <w:t xml:space="preserve"> at </w:t>
      </w:r>
      <w:r w:rsidR="00953B1A" w:rsidRPr="00CB7084">
        <w:t>14-17 Moore Street</w:t>
      </w:r>
      <w:r w:rsidRPr="00CB7084">
        <w:t xml:space="preserve"> to facilitate the reuse of these buildings as a Commemorative Centre</w:t>
      </w:r>
      <w:r w:rsidR="005C51DE">
        <w:t>.</w:t>
      </w:r>
    </w:p>
    <w:p w14:paraId="4B1E681B" w14:textId="77777777" w:rsidR="00953B1A" w:rsidRDefault="00953B1A" w:rsidP="00A238EE">
      <w:pPr>
        <w:spacing w:line="240" w:lineRule="auto"/>
      </w:pPr>
    </w:p>
    <w:p w14:paraId="1D338714" w14:textId="6411D18E" w:rsidR="00A238EE" w:rsidRPr="00CB7084" w:rsidRDefault="00A238EE" w:rsidP="00A238EE">
      <w:pPr>
        <w:spacing w:line="240" w:lineRule="auto"/>
      </w:pPr>
      <w:r w:rsidRPr="00CB7084">
        <w:rPr>
          <w:rFonts w:cs="Arial"/>
          <w:shd w:val="clear" w:color="auto" w:fill="FFFFFF"/>
        </w:rPr>
        <w:t>15/16 Henrietta Street</w:t>
      </w:r>
      <w:r w:rsidR="001C2C31">
        <w:rPr>
          <w:rFonts w:cs="Arial"/>
          <w:shd w:val="clear" w:color="auto" w:fill="FFFFFF"/>
        </w:rPr>
        <w:t xml:space="preserve">; </w:t>
      </w:r>
      <w:r w:rsidRPr="00CB7084">
        <w:rPr>
          <w:rFonts w:cs="Arial"/>
          <w:shd w:val="clear" w:color="auto" w:fill="FFFFFF"/>
        </w:rPr>
        <w:t xml:space="preserve">works to rebuild no. 16 Henrietta Street as a venue and museum </w:t>
      </w:r>
      <w:r w:rsidR="001C2C31">
        <w:rPr>
          <w:rFonts w:cs="Arial"/>
          <w:shd w:val="clear" w:color="auto" w:fill="FFFFFF"/>
        </w:rPr>
        <w:t>for</w:t>
      </w:r>
      <w:r w:rsidRPr="00CB7084">
        <w:rPr>
          <w:rFonts w:cs="Arial"/>
          <w:shd w:val="clear" w:color="auto" w:fill="FFFFFF"/>
        </w:rPr>
        <w:t xml:space="preserve"> Na </w:t>
      </w:r>
      <w:proofErr w:type="spellStart"/>
      <w:r w:rsidRPr="00CB7084">
        <w:rPr>
          <w:rFonts w:cs="Arial"/>
          <w:shd w:val="clear" w:color="auto" w:fill="FFFFFF"/>
        </w:rPr>
        <w:t>Píobairí</w:t>
      </w:r>
      <w:proofErr w:type="spellEnd"/>
      <w:r w:rsidRPr="00CB7084">
        <w:rPr>
          <w:rFonts w:cs="Arial"/>
          <w:shd w:val="clear" w:color="auto" w:fill="FFFFFF"/>
        </w:rPr>
        <w:t xml:space="preserve"> Uilleann.</w:t>
      </w:r>
    </w:p>
    <w:p w14:paraId="5CD1C66E" w14:textId="77777777" w:rsidR="00A238EE" w:rsidRPr="00CB7084" w:rsidRDefault="00A238EE" w:rsidP="00A238EE">
      <w:pPr>
        <w:pStyle w:val="NormalWeb"/>
        <w:shd w:val="clear" w:color="auto" w:fill="FFFFFF"/>
        <w:spacing w:before="0" w:beforeAutospacing="0" w:after="0" w:afterAutospacing="0"/>
        <w:rPr>
          <w:rFonts w:ascii="Arial" w:hAnsi="Arial" w:cs="Arial"/>
          <w:sz w:val="22"/>
          <w:szCs w:val="22"/>
        </w:rPr>
      </w:pPr>
    </w:p>
    <w:p w14:paraId="301EB406" w14:textId="77777777" w:rsidR="001C2C31" w:rsidRDefault="00A238EE" w:rsidP="00A238EE">
      <w:pPr>
        <w:pStyle w:val="NormalWeb"/>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u w:val="single"/>
          <w:shd w:val="clear" w:color="auto" w:fill="FFFFFF"/>
        </w:rPr>
        <w:t>Markets area</w:t>
      </w:r>
      <w:r w:rsidR="001C2C31">
        <w:rPr>
          <w:rStyle w:val="Strong"/>
          <w:rFonts w:ascii="Arial" w:hAnsi="Arial" w:cs="Arial"/>
          <w:b w:val="0"/>
          <w:bCs w:val="0"/>
          <w:sz w:val="22"/>
          <w:szCs w:val="22"/>
          <w:shd w:val="clear" w:color="auto" w:fill="FFFFFF"/>
        </w:rPr>
        <w:t>. Works to include t</w:t>
      </w:r>
      <w:r w:rsidRPr="00190B58">
        <w:rPr>
          <w:rFonts w:ascii="Arial" w:hAnsi="Arial" w:cs="Arial"/>
          <w:sz w:val="22"/>
          <w:szCs w:val="22"/>
          <w:shd w:val="clear" w:color="auto" w:fill="FFFFFF"/>
        </w:rPr>
        <w:t>he</w:t>
      </w:r>
      <w:r w:rsidRPr="00CB7084">
        <w:rPr>
          <w:rFonts w:ascii="Arial" w:hAnsi="Arial" w:cs="Arial"/>
          <w:sz w:val="22"/>
          <w:szCs w:val="22"/>
          <w:shd w:val="clear" w:color="auto" w:fill="FFFFFF"/>
        </w:rPr>
        <w:t xml:space="preserve"> conservation and refurbishment of the historic city</w:t>
      </w:r>
      <w:r w:rsidR="00895A24">
        <w:rPr>
          <w:rFonts w:ascii="Arial" w:hAnsi="Arial" w:cs="Arial"/>
          <w:sz w:val="22"/>
          <w:szCs w:val="22"/>
          <w:shd w:val="clear" w:color="auto" w:fill="FFFFFF"/>
        </w:rPr>
        <w:t>-</w:t>
      </w:r>
      <w:r w:rsidRPr="00CB7084">
        <w:rPr>
          <w:rFonts w:ascii="Arial" w:hAnsi="Arial" w:cs="Arial"/>
          <w:sz w:val="22"/>
          <w:szCs w:val="22"/>
          <w:shd w:val="clear" w:color="auto" w:fill="FFFFFF"/>
        </w:rPr>
        <w:t>owned former Fruit and Vegetable market, located between Capel Street and Smithfield as a retail food market</w:t>
      </w:r>
      <w:r w:rsidR="001C2C31">
        <w:rPr>
          <w:rFonts w:ascii="Arial" w:hAnsi="Arial" w:cs="Arial"/>
          <w:sz w:val="22"/>
          <w:szCs w:val="22"/>
          <w:shd w:val="clear" w:color="auto" w:fill="FFFFFF"/>
        </w:rPr>
        <w:t>.</w:t>
      </w:r>
    </w:p>
    <w:p w14:paraId="76B664B1" w14:textId="467A2246" w:rsidR="00A238EE" w:rsidRPr="00CB7084" w:rsidRDefault="00A238EE" w:rsidP="00A238EE">
      <w:pPr>
        <w:pStyle w:val="NormalWeb"/>
        <w:shd w:val="clear" w:color="auto" w:fill="FFFFFF"/>
        <w:spacing w:before="0" w:beforeAutospacing="0" w:after="0" w:afterAutospacing="0"/>
        <w:rPr>
          <w:rFonts w:ascii="Arial" w:hAnsi="Arial" w:cs="Arial"/>
          <w:sz w:val="22"/>
          <w:szCs w:val="22"/>
          <w:shd w:val="clear" w:color="auto" w:fill="FFFFFF"/>
        </w:rPr>
      </w:pPr>
      <w:r w:rsidRPr="00CB7084">
        <w:rPr>
          <w:rFonts w:ascii="Arial" w:hAnsi="Arial" w:cs="Arial"/>
          <w:sz w:val="22"/>
          <w:szCs w:val="22"/>
        </w:rPr>
        <w:t xml:space="preserve">Markets and Public Realm Study and </w:t>
      </w:r>
      <w:r w:rsidR="005C51DE" w:rsidRPr="00CB7084">
        <w:rPr>
          <w:rFonts w:ascii="Arial" w:hAnsi="Arial" w:cs="Arial"/>
          <w:sz w:val="22"/>
          <w:szCs w:val="22"/>
        </w:rPr>
        <w:t>works</w:t>
      </w:r>
      <w:r w:rsidR="005C51DE">
        <w:rPr>
          <w:rFonts w:ascii="Arial" w:hAnsi="Arial" w:cs="Arial"/>
          <w:sz w:val="22"/>
          <w:szCs w:val="22"/>
        </w:rPr>
        <w:t>:</w:t>
      </w:r>
      <w:r w:rsidR="001C2C31">
        <w:rPr>
          <w:rFonts w:ascii="Arial" w:hAnsi="Arial" w:cs="Arial"/>
          <w:sz w:val="22"/>
          <w:szCs w:val="22"/>
        </w:rPr>
        <w:t xml:space="preserve"> </w:t>
      </w:r>
      <w:r w:rsidR="00482264">
        <w:rPr>
          <w:rFonts w:ascii="Arial" w:hAnsi="Arial" w:cs="Arial"/>
          <w:sz w:val="22"/>
          <w:szCs w:val="22"/>
        </w:rPr>
        <w:t>acquisition of a</w:t>
      </w:r>
      <w:r w:rsidRPr="00CB7084">
        <w:rPr>
          <w:rFonts w:ascii="Arial" w:hAnsi="Arial" w:cs="Arial"/>
          <w:sz w:val="22"/>
          <w:szCs w:val="22"/>
        </w:rPr>
        <w:t xml:space="preserve"> </w:t>
      </w:r>
      <w:r w:rsidR="00482264">
        <w:rPr>
          <w:rFonts w:ascii="Arial" w:hAnsi="Arial" w:cs="Arial"/>
          <w:sz w:val="22"/>
          <w:szCs w:val="22"/>
        </w:rPr>
        <w:t xml:space="preserve">vacant site at </w:t>
      </w:r>
      <w:r w:rsidRPr="00CB7084">
        <w:rPr>
          <w:rFonts w:ascii="Arial" w:hAnsi="Arial" w:cs="Arial"/>
          <w:sz w:val="22"/>
          <w:szCs w:val="22"/>
          <w:shd w:val="clear" w:color="auto" w:fill="FFFFFF"/>
        </w:rPr>
        <w:t>Ryders Row for redevelopment and reutilisation.</w:t>
      </w:r>
    </w:p>
    <w:p w14:paraId="4E41C85F" w14:textId="77777777" w:rsidR="00A238EE" w:rsidRPr="00CB7084" w:rsidRDefault="00A238EE" w:rsidP="00A238EE">
      <w:pPr>
        <w:pStyle w:val="NormalWeb"/>
        <w:shd w:val="clear" w:color="auto" w:fill="FFFFFF"/>
        <w:spacing w:before="0" w:beforeAutospacing="0" w:after="0" w:afterAutospacing="0"/>
        <w:rPr>
          <w:rFonts w:ascii="Arial" w:hAnsi="Arial" w:cs="Arial"/>
          <w:sz w:val="22"/>
          <w:szCs w:val="22"/>
        </w:rPr>
      </w:pPr>
    </w:p>
    <w:p w14:paraId="4CB0B7E8" w14:textId="1139233A" w:rsidR="00A238EE" w:rsidRPr="00CB7084" w:rsidRDefault="00A238EE" w:rsidP="00A238EE">
      <w:pPr>
        <w:pStyle w:val="NormalWeb"/>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u w:val="single"/>
          <w:shd w:val="clear" w:color="auto" w:fill="FFFFFF"/>
        </w:rPr>
        <w:t>Mountjoy Squar</w:t>
      </w:r>
      <w:r w:rsidRPr="001C2C31">
        <w:rPr>
          <w:rStyle w:val="Strong"/>
          <w:rFonts w:ascii="Arial" w:hAnsi="Arial" w:cs="Arial"/>
          <w:b w:val="0"/>
          <w:bCs w:val="0"/>
          <w:sz w:val="22"/>
          <w:szCs w:val="22"/>
          <w:u w:val="single"/>
          <w:shd w:val="clear" w:color="auto" w:fill="FFFFFF"/>
        </w:rPr>
        <w:t>e</w:t>
      </w:r>
      <w:r w:rsidR="001C2C31" w:rsidRPr="001C2C31">
        <w:rPr>
          <w:rStyle w:val="Strong"/>
          <w:rFonts w:ascii="Arial" w:hAnsi="Arial" w:cs="Arial"/>
          <w:b w:val="0"/>
          <w:bCs w:val="0"/>
          <w:sz w:val="22"/>
          <w:szCs w:val="22"/>
          <w:shd w:val="clear" w:color="auto" w:fill="FFFFFF"/>
        </w:rPr>
        <w:t>.</w:t>
      </w:r>
      <w:r w:rsidR="001C2C31">
        <w:rPr>
          <w:rStyle w:val="Strong"/>
          <w:rFonts w:ascii="Arial" w:hAnsi="Arial" w:cs="Arial"/>
          <w:sz w:val="22"/>
          <w:szCs w:val="22"/>
          <w:shd w:val="clear" w:color="auto" w:fill="FFFFFF"/>
        </w:rPr>
        <w:t xml:space="preserve"> </w:t>
      </w:r>
      <w:r w:rsidRPr="00CB7084">
        <w:rPr>
          <w:rFonts w:ascii="Arial" w:hAnsi="Arial" w:cs="Arial"/>
          <w:sz w:val="22"/>
          <w:szCs w:val="22"/>
          <w:shd w:val="clear" w:color="auto" w:fill="FFFFFF"/>
        </w:rPr>
        <w:t>Georgian era Mountjoy Square</w:t>
      </w:r>
      <w:r w:rsidR="00CB4ED7">
        <w:rPr>
          <w:rFonts w:ascii="Arial" w:hAnsi="Arial" w:cs="Arial"/>
          <w:sz w:val="22"/>
          <w:szCs w:val="22"/>
          <w:shd w:val="clear" w:color="auto" w:fill="FFFFFF"/>
        </w:rPr>
        <w:t xml:space="preserve"> </w:t>
      </w:r>
      <w:r w:rsidRPr="00CB7084">
        <w:rPr>
          <w:rFonts w:ascii="Arial" w:hAnsi="Arial" w:cs="Arial"/>
          <w:sz w:val="22"/>
          <w:szCs w:val="22"/>
          <w:shd w:val="clear" w:color="auto" w:fill="FFFFFF"/>
        </w:rPr>
        <w:t xml:space="preserve">to be redeveloped and enhanced as a traditional park for the community and as a tourist attraction. </w:t>
      </w:r>
      <w:r w:rsidR="001C2C31">
        <w:rPr>
          <w:rFonts w:ascii="Arial" w:hAnsi="Arial" w:cs="Arial"/>
          <w:sz w:val="22"/>
          <w:szCs w:val="22"/>
          <w:shd w:val="clear" w:color="auto" w:fill="FFFFFF"/>
        </w:rPr>
        <w:t>R</w:t>
      </w:r>
      <w:r w:rsidRPr="00CB7084">
        <w:rPr>
          <w:rFonts w:ascii="Arial" w:hAnsi="Arial" w:cs="Arial"/>
          <w:sz w:val="22"/>
          <w:szCs w:val="22"/>
          <w:shd w:val="clear" w:color="auto" w:fill="FFFFFF"/>
        </w:rPr>
        <w:t>estoration</w:t>
      </w:r>
      <w:r w:rsidR="001C2C31">
        <w:rPr>
          <w:rFonts w:ascii="Arial" w:hAnsi="Arial" w:cs="Arial"/>
          <w:sz w:val="22"/>
          <w:szCs w:val="22"/>
          <w:shd w:val="clear" w:color="auto" w:fill="FFFFFF"/>
        </w:rPr>
        <w:t xml:space="preserve"> </w:t>
      </w:r>
      <w:r w:rsidR="00713DD3">
        <w:rPr>
          <w:rFonts w:ascii="Arial" w:hAnsi="Arial" w:cs="Arial"/>
          <w:sz w:val="22"/>
          <w:szCs w:val="22"/>
          <w:shd w:val="clear" w:color="auto" w:fill="FFFFFF"/>
        </w:rPr>
        <w:t>works</w:t>
      </w:r>
      <w:r w:rsidR="001C2C31">
        <w:rPr>
          <w:rFonts w:ascii="Arial" w:hAnsi="Arial" w:cs="Arial"/>
          <w:sz w:val="22"/>
          <w:szCs w:val="22"/>
          <w:shd w:val="clear" w:color="auto" w:fill="FFFFFF"/>
        </w:rPr>
        <w:t xml:space="preserve"> to</w:t>
      </w:r>
      <w:r w:rsidRPr="00CB7084">
        <w:rPr>
          <w:rFonts w:ascii="Arial" w:hAnsi="Arial" w:cs="Arial"/>
          <w:sz w:val="22"/>
          <w:szCs w:val="22"/>
          <w:shd w:val="clear" w:color="auto" w:fill="FFFFFF"/>
        </w:rPr>
        <w:t xml:space="preserve"> include </w:t>
      </w:r>
      <w:r w:rsidR="00CB4ED7">
        <w:rPr>
          <w:rFonts w:ascii="Arial" w:hAnsi="Arial" w:cs="Arial"/>
          <w:sz w:val="22"/>
          <w:szCs w:val="22"/>
          <w:shd w:val="clear" w:color="auto" w:fill="FFFFFF"/>
        </w:rPr>
        <w:t xml:space="preserve">the </w:t>
      </w:r>
      <w:r w:rsidRPr="00CB7084">
        <w:rPr>
          <w:rFonts w:ascii="Arial" w:hAnsi="Arial" w:cs="Arial"/>
          <w:sz w:val="22"/>
          <w:szCs w:val="22"/>
          <w:shd w:val="clear" w:color="auto" w:fill="FFFFFF"/>
        </w:rPr>
        <w:t xml:space="preserve">original path layout, </w:t>
      </w:r>
      <w:r w:rsidR="001C2C31">
        <w:rPr>
          <w:rFonts w:ascii="Arial" w:hAnsi="Arial" w:cs="Arial"/>
          <w:sz w:val="22"/>
          <w:szCs w:val="22"/>
          <w:shd w:val="clear" w:color="auto" w:fill="FFFFFF"/>
        </w:rPr>
        <w:t>landscaping</w:t>
      </w:r>
      <w:r w:rsidRPr="00CB7084">
        <w:rPr>
          <w:rFonts w:ascii="Arial" w:hAnsi="Arial" w:cs="Arial"/>
          <w:sz w:val="22"/>
          <w:szCs w:val="22"/>
          <w:shd w:val="clear" w:color="auto" w:fill="FFFFFF"/>
        </w:rPr>
        <w:t>, and refurb</w:t>
      </w:r>
      <w:r w:rsidR="00CB4ED7">
        <w:rPr>
          <w:rFonts w:ascii="Arial" w:hAnsi="Arial" w:cs="Arial"/>
          <w:sz w:val="22"/>
          <w:szCs w:val="22"/>
          <w:shd w:val="clear" w:color="auto" w:fill="FFFFFF"/>
        </w:rPr>
        <w:t>ishment</w:t>
      </w:r>
      <w:r w:rsidRPr="00CB7084">
        <w:rPr>
          <w:rFonts w:ascii="Arial" w:hAnsi="Arial" w:cs="Arial"/>
          <w:sz w:val="22"/>
          <w:szCs w:val="22"/>
          <w:shd w:val="clear" w:color="auto" w:fill="FFFFFF"/>
        </w:rPr>
        <w:t xml:space="preserve"> of the existing community building.</w:t>
      </w:r>
    </w:p>
    <w:p w14:paraId="328C1F7E" w14:textId="77777777" w:rsidR="00A238EE" w:rsidRPr="00CB7084" w:rsidRDefault="00A238EE" w:rsidP="00A238EE">
      <w:pPr>
        <w:pStyle w:val="NormalWeb"/>
        <w:shd w:val="clear" w:color="auto" w:fill="FFFFFF"/>
        <w:spacing w:before="0" w:beforeAutospacing="0" w:after="0" w:afterAutospacing="0"/>
        <w:rPr>
          <w:rStyle w:val="Strong"/>
          <w:rFonts w:ascii="Arial" w:hAnsi="Arial" w:cs="Arial"/>
          <w:sz w:val="22"/>
          <w:szCs w:val="22"/>
          <w:shd w:val="clear" w:color="auto" w:fill="FFFFFF"/>
        </w:rPr>
      </w:pPr>
    </w:p>
    <w:p w14:paraId="44A0E0F1" w14:textId="737D987B" w:rsidR="00A238EE" w:rsidRPr="00CB7084" w:rsidRDefault="00A238EE" w:rsidP="00A238EE">
      <w:pPr>
        <w:pStyle w:val="NormalWeb"/>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u w:val="single"/>
          <w:shd w:val="clear" w:color="auto" w:fill="FFFFFF"/>
        </w:rPr>
        <w:t>Five Lamps</w:t>
      </w:r>
      <w:r w:rsidR="001C2C31" w:rsidRPr="001C2C31">
        <w:rPr>
          <w:rStyle w:val="Strong"/>
          <w:rFonts w:ascii="Arial" w:hAnsi="Arial" w:cs="Arial"/>
          <w:b w:val="0"/>
          <w:bCs w:val="0"/>
          <w:sz w:val="22"/>
          <w:szCs w:val="22"/>
          <w:shd w:val="clear" w:color="auto" w:fill="FFFFFF"/>
        </w:rPr>
        <w:t>.</w:t>
      </w:r>
      <w:r w:rsidRPr="00CB7084">
        <w:rPr>
          <w:rStyle w:val="Strong"/>
          <w:rFonts w:ascii="Arial" w:hAnsi="Arial" w:cs="Arial"/>
          <w:sz w:val="22"/>
          <w:szCs w:val="22"/>
          <w:shd w:val="clear" w:color="auto" w:fill="FFFFFF"/>
        </w:rPr>
        <w:t xml:space="preserve"> </w:t>
      </w:r>
      <w:r w:rsidRPr="00CB7084">
        <w:rPr>
          <w:rFonts w:ascii="Arial" w:hAnsi="Arial" w:cs="Arial"/>
          <w:sz w:val="22"/>
          <w:szCs w:val="22"/>
          <w:shd w:val="clear" w:color="auto" w:fill="FFFFFF"/>
        </w:rPr>
        <w:t>Public realm</w:t>
      </w:r>
      <w:r w:rsidR="001C2C31">
        <w:rPr>
          <w:rFonts w:ascii="Arial" w:hAnsi="Arial" w:cs="Arial"/>
          <w:sz w:val="22"/>
          <w:szCs w:val="22"/>
          <w:shd w:val="clear" w:color="auto" w:fill="FFFFFF"/>
        </w:rPr>
        <w:t>/</w:t>
      </w:r>
      <w:r w:rsidRPr="00CB7084">
        <w:rPr>
          <w:rFonts w:ascii="Arial" w:hAnsi="Arial" w:cs="Arial"/>
          <w:sz w:val="22"/>
          <w:szCs w:val="22"/>
          <w:shd w:val="clear" w:color="auto" w:fill="FFFFFF"/>
        </w:rPr>
        <w:t xml:space="preserve">greening works </w:t>
      </w:r>
      <w:r w:rsidR="00713DD3">
        <w:rPr>
          <w:rFonts w:ascii="Arial" w:hAnsi="Arial" w:cs="Arial"/>
          <w:sz w:val="22"/>
          <w:szCs w:val="22"/>
          <w:shd w:val="clear" w:color="auto" w:fill="FFFFFF"/>
        </w:rPr>
        <w:t>and</w:t>
      </w:r>
      <w:r w:rsidRPr="00CB7084">
        <w:rPr>
          <w:rFonts w:ascii="Arial" w:hAnsi="Arial" w:cs="Arial"/>
          <w:sz w:val="22"/>
          <w:szCs w:val="22"/>
          <w:shd w:val="clear" w:color="auto" w:fill="FFFFFF"/>
        </w:rPr>
        <w:t xml:space="preserve"> changes to traffic flows</w:t>
      </w:r>
      <w:r w:rsidR="001C2C31">
        <w:rPr>
          <w:rFonts w:ascii="Arial" w:hAnsi="Arial" w:cs="Arial"/>
          <w:sz w:val="22"/>
          <w:szCs w:val="22"/>
          <w:shd w:val="clear" w:color="auto" w:fill="FFFFFF"/>
        </w:rPr>
        <w:t xml:space="preserve"> in the area</w:t>
      </w:r>
      <w:r w:rsidRPr="00CB7084">
        <w:rPr>
          <w:rFonts w:ascii="Arial" w:hAnsi="Arial" w:cs="Arial"/>
          <w:sz w:val="22"/>
          <w:szCs w:val="22"/>
          <w:shd w:val="clear" w:color="auto" w:fill="FFFFFF"/>
        </w:rPr>
        <w:t xml:space="preserve"> to support the regeneration and enhancement of this part of the north inner city.</w:t>
      </w:r>
    </w:p>
    <w:p w14:paraId="6AE251EB" w14:textId="77777777" w:rsidR="00A238EE" w:rsidRPr="00CB7084" w:rsidRDefault="00A238EE" w:rsidP="00A238EE">
      <w:pPr>
        <w:pStyle w:val="NormalWeb"/>
        <w:shd w:val="clear" w:color="auto" w:fill="FFFFFF"/>
        <w:spacing w:before="0" w:beforeAutospacing="0" w:after="0" w:afterAutospacing="0"/>
        <w:rPr>
          <w:rFonts w:ascii="Arial" w:hAnsi="Arial" w:cs="Arial"/>
          <w:sz w:val="22"/>
          <w:szCs w:val="22"/>
        </w:rPr>
      </w:pPr>
    </w:p>
    <w:p w14:paraId="076D9272" w14:textId="77777777" w:rsidR="00A238EE" w:rsidRPr="00CB7084" w:rsidRDefault="00A238EE" w:rsidP="00A238EE">
      <w:pPr>
        <w:spacing w:line="240" w:lineRule="auto"/>
        <w:rPr>
          <w:b/>
        </w:rPr>
      </w:pPr>
      <w:r w:rsidRPr="00CB7084">
        <w:rPr>
          <w:rStyle w:val="Strong"/>
          <w:rFonts w:cs="Arial"/>
        </w:rPr>
        <w:t xml:space="preserve">South Inner City Concept Area 2 (Dublin City Council) - </w:t>
      </w:r>
      <w:r w:rsidRPr="00CB7084">
        <w:rPr>
          <w:rFonts w:cs="Arial"/>
          <w:b/>
          <w:shd w:val="clear" w:color="auto" w:fill="FFFFFF"/>
        </w:rPr>
        <w:t>€45.1m</w:t>
      </w:r>
      <w:r w:rsidRPr="00CB7084">
        <w:rPr>
          <w:rStyle w:val="Strong"/>
          <w:rFonts w:cs="Arial"/>
        </w:rPr>
        <w:t xml:space="preserve"> </w:t>
      </w:r>
    </w:p>
    <w:p w14:paraId="1197CC73" w14:textId="77777777" w:rsidR="00A238EE" w:rsidRPr="00CB7084" w:rsidRDefault="00A238EE" w:rsidP="00A238EE">
      <w:pPr>
        <w:pStyle w:val="jsx-1614296240"/>
        <w:shd w:val="clear" w:color="auto" w:fill="FFFFFF"/>
        <w:spacing w:before="0" w:beforeAutospacing="0" w:after="0" w:afterAutospacing="0"/>
        <w:jc w:val="both"/>
        <w:rPr>
          <w:rFonts w:ascii="Arial" w:hAnsi="Arial" w:cs="Arial"/>
          <w:sz w:val="22"/>
          <w:szCs w:val="22"/>
        </w:rPr>
      </w:pPr>
      <w:r w:rsidRPr="00CB7084">
        <w:rPr>
          <w:rFonts w:ascii="Arial" w:hAnsi="Arial" w:cs="Arial"/>
          <w:sz w:val="22"/>
          <w:szCs w:val="22"/>
        </w:rPr>
        <w:t>This area-based regeneration proposal for Dublin’s South Inner City was awarded €45.1m in URDF provisional funding towards a series of 15 complementary sub projects, interlinked with</w:t>
      </w:r>
      <w:r w:rsidRPr="00CB7084">
        <w:rPr>
          <w:rFonts w:ascii="Arial" w:hAnsi="Arial" w:cs="Arial"/>
          <w:sz w:val="29"/>
          <w:szCs w:val="29"/>
        </w:rPr>
        <w:t xml:space="preserve"> </w:t>
      </w:r>
      <w:r w:rsidRPr="00CB7084">
        <w:rPr>
          <w:rFonts w:ascii="Arial" w:hAnsi="Arial" w:cs="Arial"/>
          <w:sz w:val="22"/>
          <w:szCs w:val="22"/>
        </w:rPr>
        <w:t>current and planned transport routes, and spatially clustered in two hubs including:</w:t>
      </w:r>
    </w:p>
    <w:p w14:paraId="078B11A0" w14:textId="77777777" w:rsidR="00A238EE" w:rsidRPr="00CB7084" w:rsidRDefault="00A238EE" w:rsidP="00A238EE">
      <w:pPr>
        <w:pStyle w:val="jsx-1614296240"/>
        <w:shd w:val="clear" w:color="auto" w:fill="FFFFFF"/>
        <w:spacing w:before="0" w:beforeAutospacing="0" w:after="0" w:afterAutospacing="0"/>
        <w:jc w:val="both"/>
        <w:rPr>
          <w:rFonts w:ascii="Arial" w:hAnsi="Arial" w:cs="Arial"/>
          <w:sz w:val="22"/>
          <w:szCs w:val="22"/>
        </w:rPr>
      </w:pPr>
    </w:p>
    <w:p w14:paraId="7D2FE34A" w14:textId="6E0D0C48" w:rsidR="00A238EE" w:rsidRPr="00CB7084" w:rsidRDefault="00A238EE" w:rsidP="00A238EE">
      <w:pPr>
        <w:pStyle w:val="jsx-1614296240"/>
        <w:shd w:val="clear" w:color="auto" w:fill="FFFFFF"/>
        <w:spacing w:before="0" w:beforeAutospacing="0" w:after="0" w:afterAutospacing="0"/>
        <w:jc w:val="both"/>
        <w:rPr>
          <w:rFonts w:ascii="Arial" w:hAnsi="Arial" w:cs="Arial"/>
          <w:sz w:val="22"/>
          <w:szCs w:val="22"/>
          <w:shd w:val="clear" w:color="auto" w:fill="FFFFFF"/>
        </w:rPr>
      </w:pPr>
      <w:r w:rsidRPr="00190B58">
        <w:rPr>
          <w:rStyle w:val="Strong"/>
          <w:rFonts w:ascii="Arial" w:hAnsi="Arial" w:cs="Arial"/>
          <w:b w:val="0"/>
          <w:bCs w:val="0"/>
          <w:sz w:val="22"/>
          <w:szCs w:val="22"/>
          <w:u w:val="single"/>
        </w:rPr>
        <w:t>Ringsend Hu</w:t>
      </w:r>
      <w:r w:rsidR="001C2C31">
        <w:rPr>
          <w:rStyle w:val="Strong"/>
          <w:rFonts w:ascii="Arial" w:hAnsi="Arial" w:cs="Arial"/>
          <w:b w:val="0"/>
          <w:bCs w:val="0"/>
          <w:sz w:val="22"/>
          <w:szCs w:val="22"/>
          <w:u w:val="single"/>
        </w:rPr>
        <w:t>b.</w:t>
      </w:r>
      <w:r w:rsidRPr="00CB7084">
        <w:rPr>
          <w:rStyle w:val="Strong"/>
          <w:rFonts w:ascii="Arial" w:hAnsi="Arial" w:cs="Arial"/>
          <w:sz w:val="22"/>
          <w:szCs w:val="22"/>
        </w:rPr>
        <w:t xml:space="preserve"> </w:t>
      </w:r>
      <w:r w:rsidRPr="00CB7084">
        <w:rPr>
          <w:rFonts w:ascii="Arial" w:hAnsi="Arial" w:cs="Arial"/>
          <w:sz w:val="22"/>
          <w:szCs w:val="22"/>
          <w:shd w:val="clear" w:color="auto" w:fill="FFFFFF"/>
        </w:rPr>
        <w:t xml:space="preserve">The refurbishment and extension of Ringsend Public Library to provide a </w:t>
      </w:r>
      <w:r w:rsidR="00746FF8" w:rsidRPr="00CB7084">
        <w:rPr>
          <w:rFonts w:ascii="Arial" w:hAnsi="Arial" w:cs="Arial"/>
          <w:sz w:val="22"/>
          <w:szCs w:val="22"/>
          <w:shd w:val="clear" w:color="auto" w:fill="FFFFFF"/>
        </w:rPr>
        <w:t>high-quality</w:t>
      </w:r>
      <w:r w:rsidRPr="00CB7084">
        <w:rPr>
          <w:rFonts w:ascii="Arial" w:hAnsi="Arial" w:cs="Arial"/>
          <w:sz w:val="22"/>
          <w:szCs w:val="22"/>
          <w:shd w:val="clear" w:color="auto" w:fill="FFFFFF"/>
        </w:rPr>
        <w:t xml:space="preserve"> village core</w:t>
      </w:r>
      <w:r w:rsidR="001C2C31">
        <w:rPr>
          <w:rFonts w:ascii="Arial" w:hAnsi="Arial" w:cs="Arial"/>
          <w:sz w:val="22"/>
          <w:szCs w:val="22"/>
          <w:shd w:val="clear" w:color="auto" w:fill="FFFFFF"/>
        </w:rPr>
        <w:t xml:space="preserve">, </w:t>
      </w:r>
      <w:r w:rsidRPr="00CB7084">
        <w:rPr>
          <w:rFonts w:ascii="Arial" w:hAnsi="Arial" w:cs="Arial"/>
          <w:sz w:val="22"/>
          <w:szCs w:val="22"/>
          <w:shd w:val="clear" w:color="auto" w:fill="FFFFFF"/>
        </w:rPr>
        <w:t xml:space="preserve">public realm enhancements at Ringsend Park, </w:t>
      </w:r>
      <w:r w:rsidR="00713DD3" w:rsidRPr="00CB7084">
        <w:rPr>
          <w:rFonts w:ascii="Arial" w:hAnsi="Arial" w:cs="Arial"/>
          <w:sz w:val="22"/>
          <w:szCs w:val="22"/>
          <w:shd w:val="clear" w:color="auto" w:fill="FFFFFF"/>
        </w:rPr>
        <w:t>and</w:t>
      </w:r>
      <w:r w:rsidRPr="00CB7084">
        <w:rPr>
          <w:rFonts w:ascii="Arial" w:hAnsi="Arial" w:cs="Arial"/>
          <w:sz w:val="22"/>
          <w:szCs w:val="22"/>
          <w:shd w:val="clear" w:color="auto" w:fill="FFFFFF"/>
        </w:rPr>
        <w:t xml:space="preserve"> road projects including upgrades to the Sean Moore Roundabout.</w:t>
      </w:r>
    </w:p>
    <w:p w14:paraId="312F889E" w14:textId="77777777" w:rsidR="00A238EE" w:rsidRPr="00CB7084" w:rsidRDefault="00A238EE" w:rsidP="00A238EE">
      <w:pPr>
        <w:pStyle w:val="jsx-1614296240"/>
        <w:shd w:val="clear" w:color="auto" w:fill="FFFFFF"/>
        <w:spacing w:before="0" w:beforeAutospacing="0" w:after="0" w:afterAutospacing="0"/>
        <w:jc w:val="both"/>
        <w:rPr>
          <w:rFonts w:ascii="Arial" w:hAnsi="Arial" w:cs="Arial"/>
          <w:sz w:val="22"/>
          <w:szCs w:val="22"/>
        </w:rPr>
      </w:pPr>
    </w:p>
    <w:p w14:paraId="0798DD42" w14:textId="77777777" w:rsidR="00A238EE" w:rsidRPr="00190B58" w:rsidRDefault="00A238EE" w:rsidP="00A238EE">
      <w:pPr>
        <w:pStyle w:val="NormalWeb"/>
        <w:shd w:val="clear" w:color="auto" w:fill="FFFFFF"/>
        <w:spacing w:before="0" w:beforeAutospacing="0" w:after="0" w:afterAutospacing="0"/>
        <w:rPr>
          <w:rStyle w:val="Strong"/>
          <w:rFonts w:ascii="Arial" w:hAnsi="Arial" w:cs="Arial"/>
          <w:b w:val="0"/>
          <w:bCs w:val="0"/>
          <w:sz w:val="22"/>
          <w:szCs w:val="22"/>
          <w:shd w:val="clear" w:color="auto" w:fill="FFFFFF"/>
        </w:rPr>
      </w:pPr>
      <w:r w:rsidRPr="00190B58">
        <w:rPr>
          <w:rStyle w:val="Strong"/>
          <w:rFonts w:ascii="Arial" w:hAnsi="Arial" w:cs="Arial"/>
          <w:b w:val="0"/>
          <w:bCs w:val="0"/>
          <w:sz w:val="22"/>
          <w:szCs w:val="22"/>
          <w:u w:val="single"/>
          <w:shd w:val="clear" w:color="auto" w:fill="FFFFFF"/>
        </w:rPr>
        <w:lastRenderedPageBreak/>
        <w:t>South Inner City</w:t>
      </w:r>
      <w:r w:rsidRPr="00190B58">
        <w:rPr>
          <w:rStyle w:val="Strong"/>
          <w:rFonts w:ascii="Arial" w:hAnsi="Arial" w:cs="Arial"/>
          <w:b w:val="0"/>
          <w:bCs w:val="0"/>
          <w:sz w:val="22"/>
          <w:szCs w:val="22"/>
          <w:shd w:val="clear" w:color="auto" w:fill="FFFFFF"/>
        </w:rPr>
        <w:t xml:space="preserve"> – </w:t>
      </w:r>
    </w:p>
    <w:p w14:paraId="0E6CE7E0" w14:textId="14FB91FB" w:rsidR="00A238EE" w:rsidRPr="001C2C31" w:rsidRDefault="00A238EE" w:rsidP="001C2C31">
      <w:pPr>
        <w:pStyle w:val="NormalWeb"/>
        <w:numPr>
          <w:ilvl w:val="0"/>
          <w:numId w:val="13"/>
        </w:numPr>
        <w:shd w:val="clear" w:color="auto" w:fill="FFFFFF"/>
        <w:spacing w:before="0" w:beforeAutospacing="0" w:after="0" w:afterAutospacing="0"/>
        <w:rPr>
          <w:rFonts w:ascii="Arial" w:hAnsi="Arial" w:cs="Arial"/>
          <w:sz w:val="22"/>
          <w:szCs w:val="22"/>
        </w:rPr>
      </w:pPr>
      <w:r w:rsidRPr="00CB7084">
        <w:rPr>
          <w:rFonts w:ascii="Arial" w:hAnsi="Arial" w:cs="Arial"/>
          <w:sz w:val="22"/>
          <w:szCs w:val="22"/>
        </w:rPr>
        <w:t>Liberties Greening Strategy</w:t>
      </w:r>
      <w:r w:rsidR="001C2C31">
        <w:rPr>
          <w:rFonts w:ascii="Arial" w:hAnsi="Arial" w:cs="Arial"/>
          <w:sz w:val="22"/>
          <w:szCs w:val="22"/>
        </w:rPr>
        <w:t>;</w:t>
      </w:r>
      <w:r w:rsidRPr="001C2C31">
        <w:rPr>
          <w:rFonts w:ascii="Arial" w:hAnsi="Arial" w:cs="Arial"/>
          <w:sz w:val="22"/>
          <w:szCs w:val="22"/>
        </w:rPr>
        <w:t xml:space="preserve"> </w:t>
      </w:r>
      <w:r w:rsidRPr="001C2C31">
        <w:rPr>
          <w:rFonts w:ascii="Arial" w:hAnsi="Arial" w:cs="Arial"/>
          <w:sz w:val="22"/>
          <w:szCs w:val="22"/>
          <w:shd w:val="clear" w:color="auto" w:fill="FFFFFF"/>
        </w:rPr>
        <w:t>Improvements to recreational and amenity resources for </w:t>
      </w:r>
      <w:r w:rsidR="001069F3" w:rsidRPr="001C2C31">
        <w:rPr>
          <w:rFonts w:ascii="Arial" w:hAnsi="Arial" w:cs="Arial"/>
          <w:sz w:val="22"/>
          <w:szCs w:val="22"/>
          <w:shd w:val="clear" w:color="auto" w:fill="FFFFFF"/>
        </w:rPr>
        <w:t xml:space="preserve">the </w:t>
      </w:r>
      <w:r w:rsidRPr="001C2C31">
        <w:rPr>
          <w:rFonts w:ascii="Arial" w:hAnsi="Arial" w:cs="Arial"/>
          <w:sz w:val="22"/>
          <w:szCs w:val="22"/>
          <w:shd w:val="clear" w:color="auto" w:fill="FFFFFF"/>
        </w:rPr>
        <w:t>Liberties Community</w:t>
      </w:r>
    </w:p>
    <w:p w14:paraId="03082703" w14:textId="2DC39072"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CB7084">
        <w:rPr>
          <w:rFonts w:ascii="Arial" w:hAnsi="Arial" w:cs="Arial"/>
          <w:sz w:val="22"/>
          <w:szCs w:val="22"/>
        </w:rPr>
        <w:t>Cork Street Environmental Improvement Scheme</w:t>
      </w:r>
      <w:r w:rsidR="001C2C31">
        <w:rPr>
          <w:rFonts w:ascii="Arial" w:hAnsi="Arial" w:cs="Arial"/>
          <w:sz w:val="22"/>
          <w:szCs w:val="22"/>
        </w:rPr>
        <w:t>;</w:t>
      </w:r>
      <w:r w:rsidRPr="00CB7084">
        <w:rPr>
          <w:rFonts w:ascii="Arial" w:hAnsi="Arial" w:cs="Arial"/>
          <w:sz w:val="22"/>
          <w:szCs w:val="22"/>
        </w:rPr>
        <w:t xml:space="preserve"> </w:t>
      </w:r>
      <w:r w:rsidRPr="00CB7084">
        <w:rPr>
          <w:rFonts w:ascii="Arial" w:hAnsi="Arial" w:cs="Arial"/>
          <w:sz w:val="22"/>
          <w:szCs w:val="22"/>
          <w:shd w:val="clear" w:color="auto" w:fill="FFFFFF"/>
        </w:rPr>
        <w:t>Public realm improvement Plan for Cork St, address</w:t>
      </w:r>
      <w:r w:rsidR="001C2C31">
        <w:rPr>
          <w:rFonts w:ascii="Arial" w:hAnsi="Arial" w:cs="Arial"/>
          <w:sz w:val="22"/>
          <w:szCs w:val="22"/>
          <w:shd w:val="clear" w:color="auto" w:fill="FFFFFF"/>
        </w:rPr>
        <w:t>ing</w:t>
      </w:r>
      <w:r w:rsidRPr="00CB7084">
        <w:rPr>
          <w:rFonts w:ascii="Arial" w:hAnsi="Arial" w:cs="Arial"/>
          <w:sz w:val="22"/>
          <w:szCs w:val="22"/>
          <w:shd w:val="clear" w:color="auto" w:fill="FFFFFF"/>
        </w:rPr>
        <w:t xml:space="preserve"> parking and opportunities for site consolidation</w:t>
      </w:r>
      <w:r w:rsidR="001C2C31">
        <w:rPr>
          <w:rFonts w:ascii="Arial" w:hAnsi="Arial" w:cs="Arial"/>
          <w:sz w:val="22"/>
          <w:szCs w:val="22"/>
          <w:shd w:val="clear" w:color="auto" w:fill="FFFFFF"/>
        </w:rPr>
        <w:t>.</w:t>
      </w:r>
    </w:p>
    <w:p w14:paraId="6ACD5F20" w14:textId="195C1C78"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CB7084">
        <w:rPr>
          <w:rFonts w:ascii="Arial" w:hAnsi="Arial" w:cs="Arial"/>
          <w:sz w:val="22"/>
          <w:szCs w:val="22"/>
        </w:rPr>
        <w:t>Francis Street Environmental Improvement Scheme</w:t>
      </w:r>
      <w:r w:rsidR="001C2C31">
        <w:rPr>
          <w:rFonts w:ascii="Arial" w:hAnsi="Arial" w:cs="Arial"/>
          <w:sz w:val="22"/>
          <w:szCs w:val="22"/>
        </w:rPr>
        <w:t xml:space="preserve">; </w:t>
      </w:r>
      <w:r w:rsidRPr="00CB7084">
        <w:rPr>
          <w:rFonts w:ascii="Arial" w:hAnsi="Arial" w:cs="Arial"/>
          <w:sz w:val="22"/>
          <w:szCs w:val="22"/>
        </w:rPr>
        <w:t>i</w:t>
      </w:r>
      <w:r w:rsidRPr="00CB7084">
        <w:rPr>
          <w:rFonts w:ascii="Arial" w:hAnsi="Arial" w:cs="Arial"/>
          <w:sz w:val="22"/>
          <w:szCs w:val="22"/>
          <w:shd w:val="clear" w:color="auto" w:fill="FFFFFF"/>
        </w:rPr>
        <w:t>mprovement of public realm along Francis St.</w:t>
      </w:r>
      <w:r w:rsidR="001C2C31">
        <w:rPr>
          <w:rFonts w:ascii="Arial" w:hAnsi="Arial" w:cs="Arial"/>
          <w:sz w:val="22"/>
          <w:szCs w:val="22"/>
          <w:shd w:val="clear" w:color="auto" w:fill="FFFFFF"/>
        </w:rPr>
        <w:t>,</w:t>
      </w:r>
      <w:r w:rsidRPr="00CB7084">
        <w:rPr>
          <w:rFonts w:ascii="Arial" w:hAnsi="Arial" w:cs="Arial"/>
          <w:sz w:val="22"/>
          <w:szCs w:val="22"/>
          <w:shd w:val="clear" w:color="auto" w:fill="FFFFFF"/>
        </w:rPr>
        <w:t xml:space="preserve"> Hanover Lane and part of Dean St</w:t>
      </w:r>
      <w:r w:rsidR="001C2C31">
        <w:rPr>
          <w:rFonts w:ascii="Arial" w:hAnsi="Arial" w:cs="Arial"/>
          <w:sz w:val="22"/>
          <w:szCs w:val="22"/>
          <w:shd w:val="clear" w:color="auto" w:fill="FFFFFF"/>
        </w:rPr>
        <w:t>.</w:t>
      </w:r>
    </w:p>
    <w:p w14:paraId="63C741F1" w14:textId="4BCB78B9"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CB7084">
        <w:rPr>
          <w:rFonts w:ascii="Arial" w:hAnsi="Arial" w:cs="Arial"/>
          <w:sz w:val="22"/>
          <w:szCs w:val="22"/>
        </w:rPr>
        <w:t>Newmarket Square Environmental Improvement Scheme</w:t>
      </w:r>
      <w:r w:rsidR="001C2C31">
        <w:rPr>
          <w:rFonts w:ascii="Arial" w:hAnsi="Arial" w:cs="Arial"/>
          <w:sz w:val="22"/>
          <w:szCs w:val="22"/>
        </w:rPr>
        <w:t>;</w:t>
      </w:r>
      <w:r w:rsidRPr="00CB7084">
        <w:rPr>
          <w:rFonts w:ascii="Arial" w:hAnsi="Arial" w:cs="Arial"/>
          <w:sz w:val="22"/>
          <w:szCs w:val="22"/>
        </w:rPr>
        <w:t xml:space="preserve"> </w:t>
      </w:r>
      <w:r w:rsidRPr="00CB7084">
        <w:rPr>
          <w:rFonts w:ascii="Arial" w:hAnsi="Arial" w:cs="Arial"/>
          <w:sz w:val="22"/>
          <w:szCs w:val="22"/>
          <w:shd w:val="clear" w:color="auto" w:fill="FFFFFF"/>
        </w:rPr>
        <w:t>improved paving, seating areas, tree planting, a market square and public lighting</w:t>
      </w:r>
      <w:r w:rsidR="001C2C31">
        <w:rPr>
          <w:rFonts w:ascii="Arial" w:hAnsi="Arial" w:cs="Arial"/>
          <w:sz w:val="22"/>
          <w:szCs w:val="22"/>
          <w:shd w:val="clear" w:color="auto" w:fill="FFFFFF"/>
        </w:rPr>
        <w:t>.</w:t>
      </w:r>
      <w:r w:rsidRPr="00CB7084">
        <w:rPr>
          <w:rFonts w:ascii="Arial" w:hAnsi="Arial" w:cs="Arial"/>
          <w:sz w:val="22"/>
          <w:szCs w:val="22"/>
          <w:shd w:val="clear" w:color="auto" w:fill="FFFFFF"/>
        </w:rPr>
        <w:t xml:space="preserve"> </w:t>
      </w:r>
    </w:p>
    <w:p w14:paraId="6E3999EF" w14:textId="31BC0FCC"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CB7084">
        <w:rPr>
          <w:rFonts w:ascii="Arial" w:hAnsi="Arial" w:cs="Arial"/>
          <w:sz w:val="22"/>
          <w:szCs w:val="22"/>
        </w:rPr>
        <w:t>Meath Street Environmental Improvement Scheme</w:t>
      </w:r>
      <w:r w:rsidR="001C2C31">
        <w:rPr>
          <w:rFonts w:ascii="Arial" w:hAnsi="Arial" w:cs="Arial"/>
          <w:sz w:val="22"/>
          <w:szCs w:val="22"/>
        </w:rPr>
        <w:t>;</w:t>
      </w:r>
      <w:r w:rsidRPr="00CB7084">
        <w:rPr>
          <w:rFonts w:ascii="Arial" w:hAnsi="Arial" w:cs="Arial"/>
          <w:sz w:val="22"/>
          <w:szCs w:val="22"/>
        </w:rPr>
        <w:t xml:space="preserve"> </w:t>
      </w:r>
      <w:r w:rsidRPr="00CB7084">
        <w:rPr>
          <w:rFonts w:ascii="Arial" w:hAnsi="Arial" w:cs="Arial"/>
          <w:sz w:val="22"/>
          <w:szCs w:val="22"/>
          <w:shd w:val="clear" w:color="auto" w:fill="FFFFFF"/>
        </w:rPr>
        <w:t>provision of on-street parking and loading facilities for retail premises on the street</w:t>
      </w:r>
      <w:r w:rsidR="001C2C31">
        <w:rPr>
          <w:rFonts w:ascii="Arial" w:hAnsi="Arial" w:cs="Arial"/>
          <w:sz w:val="22"/>
          <w:szCs w:val="22"/>
          <w:shd w:val="clear" w:color="auto" w:fill="FFFFFF"/>
        </w:rPr>
        <w:t>.</w:t>
      </w:r>
    </w:p>
    <w:p w14:paraId="32D3486E" w14:textId="2F2C77DC"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b/>
          <w:sz w:val="22"/>
          <w:szCs w:val="22"/>
          <w:shd w:val="clear" w:color="auto" w:fill="FFFFFF"/>
        </w:rPr>
      </w:pPr>
      <w:r w:rsidRPr="00CB7084">
        <w:rPr>
          <w:rFonts w:ascii="Arial" w:hAnsi="Arial" w:cs="Arial"/>
          <w:sz w:val="22"/>
          <w:szCs w:val="22"/>
        </w:rPr>
        <w:t>Dolphin’s Barn Environmental Improvement Scheme i</w:t>
      </w:r>
      <w:r w:rsidRPr="00CB7084">
        <w:rPr>
          <w:rFonts w:ascii="Arial" w:hAnsi="Arial" w:cs="Arial"/>
          <w:sz w:val="22"/>
          <w:szCs w:val="22"/>
          <w:shd w:val="clear" w:color="auto" w:fill="FFFFFF"/>
        </w:rPr>
        <w:t>nclud</w:t>
      </w:r>
      <w:r w:rsidR="001C2C31">
        <w:rPr>
          <w:rFonts w:ascii="Arial" w:hAnsi="Arial" w:cs="Arial"/>
          <w:sz w:val="22"/>
          <w:szCs w:val="22"/>
          <w:shd w:val="clear" w:color="auto" w:fill="FFFFFF"/>
        </w:rPr>
        <w:t>ing</w:t>
      </w:r>
      <w:r w:rsidRPr="00CB7084">
        <w:rPr>
          <w:rFonts w:ascii="Arial" w:hAnsi="Arial" w:cs="Arial"/>
          <w:sz w:val="22"/>
          <w:szCs w:val="22"/>
          <w:shd w:val="clear" w:color="auto" w:fill="FFFFFF"/>
        </w:rPr>
        <w:t xml:space="preserve"> café, tree planting, linear park, footpaths, medians, street furniture, lighting and parking</w:t>
      </w:r>
      <w:r w:rsidR="001C2C31">
        <w:rPr>
          <w:rFonts w:ascii="Arial" w:hAnsi="Arial" w:cs="Arial"/>
          <w:b/>
          <w:sz w:val="22"/>
          <w:szCs w:val="22"/>
          <w:shd w:val="clear" w:color="auto" w:fill="FFFFFF"/>
        </w:rPr>
        <w:t>.</w:t>
      </w:r>
    </w:p>
    <w:p w14:paraId="6E8E7F4C" w14:textId="08FDB6C7"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shd w:val="clear" w:color="auto" w:fill="FFFFFF"/>
        </w:rPr>
        <w:t>Werburgh Street/Ship Street Gateway Site</w:t>
      </w:r>
      <w:r w:rsidR="001C2C31">
        <w:rPr>
          <w:rStyle w:val="Strong"/>
          <w:rFonts w:ascii="Arial" w:hAnsi="Arial" w:cs="Arial"/>
          <w:b w:val="0"/>
          <w:bCs w:val="0"/>
          <w:sz w:val="22"/>
          <w:szCs w:val="22"/>
          <w:shd w:val="clear" w:color="auto" w:fill="FFFFFF"/>
        </w:rPr>
        <w:t>;</w:t>
      </w:r>
      <w:r w:rsidRPr="00CB7084">
        <w:rPr>
          <w:rStyle w:val="Strong"/>
          <w:rFonts w:ascii="Arial" w:hAnsi="Arial" w:cs="Arial"/>
          <w:sz w:val="22"/>
          <w:szCs w:val="22"/>
          <w:shd w:val="clear" w:color="auto" w:fill="FFFFFF"/>
        </w:rPr>
        <w:t xml:space="preserve"> </w:t>
      </w:r>
      <w:r w:rsidRPr="00CB7084">
        <w:rPr>
          <w:rFonts w:ascii="Arial" w:hAnsi="Arial" w:cs="Arial"/>
          <w:sz w:val="22"/>
          <w:szCs w:val="22"/>
          <w:shd w:val="clear" w:color="auto" w:fill="FFFFFF"/>
        </w:rPr>
        <w:t>Acquisition of sites to deliver heritage space</w:t>
      </w:r>
      <w:r w:rsidR="001C2C31">
        <w:rPr>
          <w:rFonts w:ascii="Arial" w:hAnsi="Arial" w:cs="Arial"/>
          <w:sz w:val="22"/>
          <w:szCs w:val="22"/>
          <w:shd w:val="clear" w:color="auto" w:fill="FFFFFF"/>
        </w:rPr>
        <w:t>.</w:t>
      </w:r>
    </w:p>
    <w:p w14:paraId="6BB6708E" w14:textId="3D64EA12"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shd w:val="clear" w:color="auto" w:fill="FFFFFF"/>
        </w:rPr>
        <w:t>Exchange Street CPO</w:t>
      </w:r>
      <w:r w:rsidR="001C2C31">
        <w:rPr>
          <w:rStyle w:val="Strong"/>
          <w:rFonts w:ascii="Arial" w:hAnsi="Arial" w:cs="Arial"/>
          <w:b w:val="0"/>
          <w:bCs w:val="0"/>
          <w:sz w:val="22"/>
          <w:szCs w:val="22"/>
          <w:shd w:val="clear" w:color="auto" w:fill="FFFFFF"/>
        </w:rPr>
        <w:t>;</w:t>
      </w:r>
      <w:r w:rsidRPr="00CB7084">
        <w:rPr>
          <w:rStyle w:val="Strong"/>
          <w:rFonts w:ascii="Arial" w:hAnsi="Arial" w:cs="Arial"/>
          <w:sz w:val="22"/>
          <w:szCs w:val="22"/>
          <w:shd w:val="clear" w:color="auto" w:fill="FFFFFF"/>
        </w:rPr>
        <w:t xml:space="preserve"> </w:t>
      </w:r>
      <w:r w:rsidRPr="00CB7084">
        <w:rPr>
          <w:rFonts w:ascii="Arial" w:hAnsi="Arial" w:cs="Arial"/>
          <w:sz w:val="22"/>
          <w:szCs w:val="22"/>
          <w:shd w:val="clear" w:color="auto" w:fill="FFFFFF"/>
        </w:rPr>
        <w:t xml:space="preserve">Acquisition of </w:t>
      </w:r>
      <w:r w:rsidR="005C51DE">
        <w:rPr>
          <w:rFonts w:ascii="Arial" w:hAnsi="Arial" w:cs="Arial"/>
          <w:sz w:val="22"/>
          <w:szCs w:val="22"/>
          <w:shd w:val="clear" w:color="auto" w:fill="FFFFFF"/>
        </w:rPr>
        <w:t>l</w:t>
      </w:r>
      <w:r w:rsidR="005C51DE" w:rsidRPr="00CB7084">
        <w:rPr>
          <w:rFonts w:ascii="Arial" w:hAnsi="Arial" w:cs="Arial"/>
          <w:sz w:val="22"/>
          <w:szCs w:val="22"/>
          <w:shd w:val="clear" w:color="auto" w:fill="FFFFFF"/>
        </w:rPr>
        <w:t>ong-term</w:t>
      </w:r>
      <w:r w:rsidRPr="00CB7084">
        <w:rPr>
          <w:rFonts w:ascii="Arial" w:hAnsi="Arial" w:cs="Arial"/>
          <w:sz w:val="22"/>
          <w:szCs w:val="22"/>
          <w:shd w:val="clear" w:color="auto" w:fill="FFFFFF"/>
        </w:rPr>
        <w:t xml:space="preserve"> vacant site within Temple Bar</w:t>
      </w:r>
      <w:r w:rsidR="001C2C31">
        <w:rPr>
          <w:rFonts w:ascii="Arial" w:hAnsi="Arial" w:cs="Arial"/>
          <w:sz w:val="22"/>
          <w:szCs w:val="22"/>
          <w:shd w:val="clear" w:color="auto" w:fill="FFFFFF"/>
        </w:rPr>
        <w:t>.</w:t>
      </w:r>
      <w:r w:rsidRPr="00CB7084">
        <w:rPr>
          <w:rFonts w:ascii="Arial" w:hAnsi="Arial" w:cs="Arial"/>
          <w:sz w:val="22"/>
          <w:szCs w:val="22"/>
          <w:shd w:val="clear" w:color="auto" w:fill="FFFFFF"/>
        </w:rPr>
        <w:t xml:space="preserve"> </w:t>
      </w:r>
    </w:p>
    <w:p w14:paraId="5108F1CB" w14:textId="017D60DF"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shd w:val="clear" w:color="auto" w:fill="FFFFFF"/>
        </w:rPr>
        <w:t>Liberties Hub (Pear Tree Crossing)</w:t>
      </w:r>
      <w:r w:rsidR="001C2C31">
        <w:rPr>
          <w:rStyle w:val="Strong"/>
          <w:rFonts w:ascii="Arial" w:hAnsi="Arial" w:cs="Arial"/>
          <w:b w:val="0"/>
          <w:bCs w:val="0"/>
          <w:sz w:val="22"/>
          <w:szCs w:val="22"/>
          <w:shd w:val="clear" w:color="auto" w:fill="FFFFFF"/>
        </w:rPr>
        <w:t>;</w:t>
      </w:r>
      <w:r w:rsidRPr="00CB7084">
        <w:rPr>
          <w:rStyle w:val="Strong"/>
          <w:rFonts w:ascii="Arial" w:hAnsi="Arial" w:cs="Arial"/>
          <w:sz w:val="22"/>
          <w:szCs w:val="22"/>
          <w:shd w:val="clear" w:color="auto" w:fill="FFFFFF"/>
        </w:rPr>
        <w:t xml:space="preserve"> </w:t>
      </w:r>
      <w:r w:rsidRPr="00CB7084">
        <w:rPr>
          <w:rFonts w:ascii="Arial" w:hAnsi="Arial" w:cs="Arial"/>
          <w:sz w:val="22"/>
          <w:szCs w:val="22"/>
          <w:shd w:val="clear" w:color="auto" w:fill="FFFFFF"/>
        </w:rPr>
        <w:t>Masterplan with the Land Development Agency will address mixed use housing, amenity, leisure and civic space</w:t>
      </w:r>
      <w:r w:rsidR="001C2C31">
        <w:rPr>
          <w:rFonts w:ascii="Arial" w:hAnsi="Arial" w:cs="Arial"/>
          <w:sz w:val="22"/>
          <w:szCs w:val="22"/>
          <w:shd w:val="clear" w:color="auto" w:fill="FFFFFF"/>
        </w:rPr>
        <w:t>.</w:t>
      </w:r>
    </w:p>
    <w:p w14:paraId="5F30DC79" w14:textId="0BDE41BE"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b/>
          <w:sz w:val="22"/>
          <w:szCs w:val="22"/>
        </w:rPr>
      </w:pPr>
      <w:r w:rsidRPr="00CB7084">
        <w:rPr>
          <w:rFonts w:ascii="Arial" w:hAnsi="Arial" w:cs="Arial"/>
          <w:sz w:val="22"/>
          <w:szCs w:val="22"/>
        </w:rPr>
        <w:t>Public Lighting Upgrade</w:t>
      </w:r>
      <w:r w:rsidR="001C2C31" w:rsidRPr="001C2C31">
        <w:rPr>
          <w:rFonts w:ascii="Arial" w:hAnsi="Arial" w:cs="Arial"/>
          <w:bCs/>
          <w:sz w:val="22"/>
          <w:szCs w:val="22"/>
        </w:rPr>
        <w:t>.</w:t>
      </w:r>
    </w:p>
    <w:p w14:paraId="70870517" w14:textId="45B61AC7" w:rsidR="00A238EE" w:rsidRPr="00CB7084" w:rsidRDefault="00A238EE" w:rsidP="00A238EE">
      <w:pPr>
        <w:pStyle w:val="NormalWeb"/>
        <w:numPr>
          <w:ilvl w:val="0"/>
          <w:numId w:val="13"/>
        </w:numPr>
        <w:shd w:val="clear" w:color="auto" w:fill="FFFFFF"/>
        <w:spacing w:before="0" w:beforeAutospacing="0" w:after="0" w:afterAutospacing="0"/>
        <w:rPr>
          <w:rFonts w:ascii="Arial" w:hAnsi="Arial" w:cs="Arial"/>
          <w:sz w:val="22"/>
          <w:szCs w:val="22"/>
          <w:shd w:val="clear" w:color="auto" w:fill="FFFFFF"/>
        </w:rPr>
      </w:pPr>
      <w:r w:rsidRPr="00190B58">
        <w:rPr>
          <w:rStyle w:val="Strong"/>
          <w:rFonts w:ascii="Arial" w:hAnsi="Arial" w:cs="Arial"/>
          <w:b w:val="0"/>
          <w:bCs w:val="0"/>
          <w:sz w:val="22"/>
          <w:szCs w:val="22"/>
          <w:shd w:val="clear" w:color="auto" w:fill="FFFFFF"/>
        </w:rPr>
        <w:t xml:space="preserve">Iveagh </w:t>
      </w:r>
      <w:r w:rsidR="00342DB9" w:rsidRPr="00190B58">
        <w:rPr>
          <w:rStyle w:val="Strong"/>
          <w:rFonts w:ascii="Arial" w:hAnsi="Arial" w:cs="Arial"/>
          <w:b w:val="0"/>
          <w:bCs w:val="0"/>
          <w:sz w:val="22"/>
          <w:szCs w:val="22"/>
          <w:shd w:val="clear" w:color="auto" w:fill="FFFFFF"/>
        </w:rPr>
        <w:t>Market</w:t>
      </w:r>
      <w:r w:rsidR="00342DB9" w:rsidRPr="001C2C31">
        <w:rPr>
          <w:rFonts w:ascii="Arial" w:hAnsi="Arial" w:cs="Arial"/>
          <w:sz w:val="22"/>
          <w:szCs w:val="22"/>
          <w:shd w:val="clear" w:color="auto" w:fill="FFFFFF"/>
        </w:rPr>
        <w:t>:</w:t>
      </w:r>
      <w:r w:rsidRPr="001C2C31">
        <w:rPr>
          <w:rFonts w:ascii="Arial" w:hAnsi="Arial" w:cs="Arial"/>
          <w:sz w:val="22"/>
          <w:szCs w:val="22"/>
          <w:shd w:val="clear" w:color="auto" w:fill="FFFFFF"/>
        </w:rPr>
        <w:t xml:space="preserve"> </w:t>
      </w:r>
      <w:r w:rsidR="001C2C31">
        <w:rPr>
          <w:rFonts w:ascii="Arial" w:hAnsi="Arial" w:cs="Arial"/>
          <w:sz w:val="22"/>
          <w:szCs w:val="22"/>
          <w:shd w:val="clear" w:color="auto" w:fill="FFFFFF"/>
        </w:rPr>
        <w:t>C</w:t>
      </w:r>
      <w:r w:rsidRPr="00CB7084">
        <w:rPr>
          <w:rFonts w:ascii="Arial" w:hAnsi="Arial" w:cs="Arial"/>
          <w:sz w:val="22"/>
          <w:szCs w:val="22"/>
          <w:shd w:val="clear" w:color="auto" w:fill="FFFFFF"/>
        </w:rPr>
        <w:t>onservation works.</w:t>
      </w:r>
    </w:p>
    <w:p w14:paraId="06DB3C38" w14:textId="53BB330B" w:rsidR="00A238EE" w:rsidRPr="00CB7084" w:rsidRDefault="00A238EE" w:rsidP="00A238EE">
      <w:pPr>
        <w:pStyle w:val="NormalWeb"/>
        <w:shd w:val="clear" w:color="auto" w:fill="FFFFFF"/>
        <w:spacing w:before="0" w:beforeAutospacing="0" w:after="0" w:afterAutospacing="0"/>
        <w:rPr>
          <w:rFonts w:ascii="Arial" w:hAnsi="Arial" w:cs="Arial"/>
          <w:b/>
          <w:bCs/>
          <w:sz w:val="22"/>
          <w:szCs w:val="22"/>
        </w:rPr>
      </w:pPr>
    </w:p>
    <w:p w14:paraId="07C6C469" w14:textId="77777777" w:rsidR="00A238EE" w:rsidRDefault="00A238EE" w:rsidP="00A238EE">
      <w:pPr>
        <w:spacing w:line="240" w:lineRule="auto"/>
        <w:rPr>
          <w:rFonts w:eastAsia="Times New Roman" w:cs="Arial"/>
          <w:b/>
          <w:i/>
          <w:sz w:val="28"/>
          <w:szCs w:val="28"/>
          <w:lang w:eastAsia="en-IE"/>
        </w:rPr>
      </w:pPr>
      <w:bookmarkStart w:id="63" w:name="_Toc178776845"/>
    </w:p>
    <w:p w14:paraId="03A02AB9" w14:textId="77777777" w:rsidR="00FF04A6" w:rsidRDefault="00FF04A6" w:rsidP="00A238EE">
      <w:pPr>
        <w:spacing w:line="240" w:lineRule="auto"/>
        <w:rPr>
          <w:rFonts w:eastAsia="Times New Roman" w:cs="Arial"/>
          <w:b/>
          <w:i/>
          <w:sz w:val="28"/>
          <w:szCs w:val="28"/>
          <w:lang w:eastAsia="en-IE"/>
        </w:rPr>
      </w:pPr>
    </w:p>
    <w:p w14:paraId="66C97F6F" w14:textId="77777777" w:rsidR="00FF04A6" w:rsidRDefault="00FF04A6" w:rsidP="00A238EE">
      <w:pPr>
        <w:spacing w:line="240" w:lineRule="auto"/>
        <w:rPr>
          <w:rFonts w:eastAsia="Times New Roman" w:cs="Arial"/>
          <w:b/>
          <w:i/>
          <w:sz w:val="28"/>
          <w:szCs w:val="28"/>
          <w:lang w:eastAsia="en-IE"/>
        </w:rPr>
      </w:pPr>
    </w:p>
    <w:p w14:paraId="23A1E35F" w14:textId="1B7BE59A" w:rsidR="00FF04A6" w:rsidRPr="00FF04A6" w:rsidRDefault="00FF04A6" w:rsidP="00FF04A6">
      <w:pPr>
        <w:spacing w:line="240" w:lineRule="auto"/>
        <w:jc w:val="center"/>
        <w:rPr>
          <w:rFonts w:eastAsia="Times New Roman" w:cs="Arial"/>
          <w:b/>
          <w:i/>
          <w:sz w:val="20"/>
          <w:szCs w:val="20"/>
          <w:lang w:eastAsia="en-IE"/>
        </w:rPr>
        <w:sectPr w:rsidR="00FF04A6" w:rsidRPr="00FF04A6" w:rsidSect="00A238EE">
          <w:type w:val="continuous"/>
          <w:pgSz w:w="16838" w:h="11906" w:orient="landscape"/>
          <w:pgMar w:top="1440" w:right="1440" w:bottom="1440" w:left="1440" w:header="708" w:footer="708" w:gutter="0"/>
          <w:cols w:num="2" w:space="708"/>
          <w:titlePg/>
          <w:docGrid w:linePitch="360"/>
        </w:sectPr>
      </w:pPr>
      <w:r w:rsidRPr="00FF04A6">
        <w:rPr>
          <w:rFonts w:eastAsia="Times New Roman" w:cs="Arial"/>
          <w:b/>
          <w:i/>
          <w:sz w:val="20"/>
          <w:szCs w:val="20"/>
          <w:lang w:eastAsia="en-IE"/>
        </w:rPr>
        <w:t>***************************************</w:t>
      </w:r>
    </w:p>
    <w:bookmarkEnd w:id="62"/>
    <w:bookmarkEnd w:id="63"/>
    <w:p w14:paraId="6DC529B9" w14:textId="2EE1C9AD" w:rsidR="0088572B" w:rsidRDefault="0088572B" w:rsidP="0088572B">
      <w:pPr>
        <w:rPr>
          <w:b/>
          <w:bCs/>
        </w:rPr>
      </w:pPr>
      <w:r>
        <w:rPr>
          <w:b/>
          <w:bCs/>
        </w:rPr>
        <w:lastRenderedPageBreak/>
        <w:t>Conclusion: Trends identified and next steps in the process.</w:t>
      </w:r>
    </w:p>
    <w:p w14:paraId="2E2E8714" w14:textId="77777777" w:rsidR="00913089" w:rsidRDefault="00913089" w:rsidP="0088572B">
      <w:pPr>
        <w:rPr>
          <w:b/>
          <w:bCs/>
        </w:rPr>
      </w:pPr>
    </w:p>
    <w:p w14:paraId="1A4CB5F6" w14:textId="77777777" w:rsidR="0088572B" w:rsidRPr="00BA1E72" w:rsidRDefault="0088572B" w:rsidP="0088572B">
      <w:pPr>
        <w:rPr>
          <w:b/>
          <w:bCs/>
        </w:rPr>
      </w:pPr>
    </w:p>
    <w:p w14:paraId="3FDE9E1D" w14:textId="24F9F79D" w:rsidR="0088572B" w:rsidRDefault="0088572B" w:rsidP="0088572B">
      <w:r w:rsidRPr="00BA1E72">
        <w:t xml:space="preserve">Having considered the content of the </w:t>
      </w:r>
      <w:r>
        <w:t xml:space="preserve">above </w:t>
      </w:r>
      <w:r w:rsidRPr="00BA1E72">
        <w:t>report, the following trends have been identified.</w:t>
      </w:r>
    </w:p>
    <w:p w14:paraId="2C666640" w14:textId="77777777" w:rsidR="0088572B" w:rsidRPr="00BA1E72" w:rsidRDefault="0088572B" w:rsidP="0088572B"/>
    <w:p w14:paraId="5A648B56" w14:textId="4B9563F0" w:rsidR="0088572B" w:rsidRPr="00342DB9" w:rsidRDefault="0088572B" w:rsidP="0088572B">
      <w:pPr>
        <w:pStyle w:val="ListParagraph"/>
        <w:numPr>
          <w:ilvl w:val="0"/>
          <w:numId w:val="15"/>
        </w:numPr>
        <w:spacing w:after="160"/>
        <w:jc w:val="left"/>
      </w:pPr>
      <w:r>
        <w:t xml:space="preserve">The annual figure for </w:t>
      </w:r>
      <w:r w:rsidR="0077533A">
        <w:t>p</w:t>
      </w:r>
      <w:r>
        <w:t>lanning applications received has dropped</w:t>
      </w:r>
      <w:r w:rsidR="0077533A">
        <w:t xml:space="preserve"> to 2</w:t>
      </w:r>
      <w:r w:rsidR="008B1913">
        <w:t>,</w:t>
      </w:r>
      <w:r w:rsidR="0077533A">
        <w:t>774</w:t>
      </w:r>
      <w:r w:rsidR="001D19E1">
        <w:t xml:space="preserve"> in 2024, from 3</w:t>
      </w:r>
      <w:r w:rsidR="008B1913">
        <w:t>,</w:t>
      </w:r>
      <w:r w:rsidR="001D19E1">
        <w:t>250 in 2023</w:t>
      </w:r>
      <w:r>
        <w:t xml:space="preserve">, </w:t>
      </w:r>
      <w:r w:rsidR="002F730B">
        <w:t xml:space="preserve">and </w:t>
      </w:r>
      <w:r>
        <w:t>development contributions</w:t>
      </w:r>
      <w:r w:rsidR="002F730B">
        <w:t xml:space="preserve"> received have dropped to €24.8 million</w:t>
      </w:r>
      <w:r w:rsidR="001D19E1">
        <w:t xml:space="preserve"> from €39.8 million during the same p</w:t>
      </w:r>
      <w:r w:rsidR="001D19E1" w:rsidRPr="00342DB9">
        <w:t>eriod.</w:t>
      </w:r>
    </w:p>
    <w:p w14:paraId="5E42430C" w14:textId="3CB8491E" w:rsidR="0088572B" w:rsidRPr="00342DB9" w:rsidRDefault="0088572B" w:rsidP="0038090A">
      <w:pPr>
        <w:pStyle w:val="ListParagraph"/>
        <w:numPr>
          <w:ilvl w:val="0"/>
          <w:numId w:val="15"/>
        </w:numPr>
        <w:spacing w:after="160"/>
        <w:jc w:val="left"/>
      </w:pPr>
      <w:r w:rsidRPr="00342DB9">
        <w:t xml:space="preserve">Housing completions have dropped to </w:t>
      </w:r>
      <w:r w:rsidR="009F7299" w:rsidRPr="00342DB9">
        <w:t>3</w:t>
      </w:r>
      <w:r w:rsidR="008B1913">
        <w:t>,</w:t>
      </w:r>
      <w:r w:rsidR="009F7299" w:rsidRPr="00342DB9">
        <w:t xml:space="preserve">355 in </w:t>
      </w:r>
      <w:r w:rsidRPr="00342DB9">
        <w:t>2024</w:t>
      </w:r>
      <w:r w:rsidR="0038090A">
        <w:t xml:space="preserve">, from </w:t>
      </w:r>
      <w:r w:rsidR="0038090A" w:rsidRPr="00342DB9">
        <w:t>3</w:t>
      </w:r>
      <w:r w:rsidR="008B1913">
        <w:t>,</w:t>
      </w:r>
      <w:r w:rsidR="0038090A" w:rsidRPr="00342DB9">
        <w:t>433 in 2023</w:t>
      </w:r>
      <w:r w:rsidR="0038090A">
        <w:t xml:space="preserve"> (a </w:t>
      </w:r>
      <w:r w:rsidR="0038090A" w:rsidRPr="00342DB9">
        <w:t xml:space="preserve">2.3 % </w:t>
      </w:r>
      <w:r w:rsidR="0038090A">
        <w:t>fall)</w:t>
      </w:r>
      <w:r w:rsidRPr="00342DB9">
        <w:t xml:space="preserve">, yet commencements have jumped by 62% in the same period. </w:t>
      </w:r>
      <w:r w:rsidR="00331736" w:rsidRPr="00342DB9">
        <w:t>E</w:t>
      </w:r>
      <w:r w:rsidR="00CC20A3" w:rsidRPr="00342DB9">
        <w:t xml:space="preserve">stimated </w:t>
      </w:r>
      <w:r w:rsidR="00331736" w:rsidRPr="00342DB9">
        <w:t xml:space="preserve">remaining residential capacity is approximately </w:t>
      </w:r>
      <w:r w:rsidR="00331736" w:rsidRPr="0038090A">
        <w:rPr>
          <w:rFonts w:cs="Arial"/>
        </w:rPr>
        <w:t>33,959 units</w:t>
      </w:r>
      <w:r w:rsidR="000A0AAA" w:rsidRPr="0038090A">
        <w:rPr>
          <w:rFonts w:cs="Arial"/>
        </w:rPr>
        <w:t>.</w:t>
      </w:r>
    </w:p>
    <w:p w14:paraId="2F131746" w14:textId="6A9A61CB" w:rsidR="0088572B" w:rsidRDefault="0088572B" w:rsidP="0088572B">
      <w:pPr>
        <w:pStyle w:val="ListParagraph"/>
        <w:numPr>
          <w:ilvl w:val="0"/>
          <w:numId w:val="15"/>
        </w:numPr>
        <w:spacing w:after="160"/>
        <w:jc w:val="left"/>
      </w:pPr>
      <w:r>
        <w:t xml:space="preserve">The </w:t>
      </w:r>
      <w:r w:rsidR="007308E5">
        <w:t xml:space="preserve">headline </w:t>
      </w:r>
      <w:r>
        <w:t xml:space="preserve">office vacancy rate in </w:t>
      </w:r>
      <w:r w:rsidRPr="009E1B31">
        <w:t xml:space="preserve">Dublin </w:t>
      </w:r>
      <w:r w:rsidR="00566E4A" w:rsidRPr="009E1B31">
        <w:t xml:space="preserve">increased </w:t>
      </w:r>
      <w:r w:rsidR="00933E68" w:rsidRPr="009E1B31">
        <w:t>marginally</w:t>
      </w:r>
      <w:r w:rsidRPr="009E1B31">
        <w:t>,</w:t>
      </w:r>
      <w:r>
        <w:t xml:space="preserve"> </w:t>
      </w:r>
      <w:r w:rsidR="00713DD3">
        <w:t>whilst</w:t>
      </w:r>
      <w:r>
        <w:t xml:space="preserve"> economic indicators remain strong </w:t>
      </w:r>
      <w:r w:rsidR="001D7E75">
        <w:t>with the S&amp;P Global Purchasing Managers’ Index having risen to 54.7 in the final quarter of 2024.</w:t>
      </w:r>
    </w:p>
    <w:p w14:paraId="0A70B233" w14:textId="1C7DA74D" w:rsidR="0088572B" w:rsidRDefault="0088572B" w:rsidP="0088572B">
      <w:pPr>
        <w:pStyle w:val="ListParagraph"/>
        <w:numPr>
          <w:ilvl w:val="0"/>
          <w:numId w:val="15"/>
        </w:numPr>
        <w:spacing w:after="160"/>
        <w:jc w:val="left"/>
      </w:pPr>
      <w:r>
        <w:t>The unemployment rate for Dublin has remained low having dropped to 4.9%</w:t>
      </w:r>
      <w:r w:rsidR="009A2F27">
        <w:t xml:space="preserve"> in Quarter 4</w:t>
      </w:r>
      <w:r w:rsidR="009F7299">
        <w:t xml:space="preserve"> 2024 from 5.1% </w:t>
      </w:r>
      <w:r w:rsidR="009F7299" w:rsidRPr="001F0857">
        <w:t>in Q4 2023</w:t>
      </w:r>
      <w:r w:rsidR="009F7299">
        <w:t>.</w:t>
      </w:r>
    </w:p>
    <w:p w14:paraId="2070F2DF" w14:textId="2963AD52" w:rsidR="0088572B" w:rsidRDefault="0088572B" w:rsidP="0088572B">
      <w:pPr>
        <w:pStyle w:val="ListParagraph"/>
        <w:numPr>
          <w:ilvl w:val="0"/>
          <w:numId w:val="15"/>
        </w:numPr>
        <w:spacing w:after="160"/>
        <w:jc w:val="left"/>
      </w:pPr>
      <w:r>
        <w:t>Quality of living remains high, with Dublin ranking in the top 30 European cities</w:t>
      </w:r>
      <w:r w:rsidR="001C2C31">
        <w:t>.</w:t>
      </w:r>
      <w:r>
        <w:t xml:space="preserve"> </w:t>
      </w:r>
    </w:p>
    <w:p w14:paraId="28220C29" w14:textId="06F61716" w:rsidR="0088572B" w:rsidRDefault="0088572B" w:rsidP="0088572B">
      <w:pPr>
        <w:pStyle w:val="ListParagraph"/>
        <w:numPr>
          <w:ilvl w:val="0"/>
          <w:numId w:val="15"/>
        </w:numPr>
        <w:spacing w:after="160"/>
        <w:jc w:val="left"/>
      </w:pPr>
      <w:r>
        <w:t>Emissions from Dublin City Councils own activities, including CO2, have reduced in recent years</w:t>
      </w:r>
      <w:r w:rsidR="001C2C31">
        <w:t>.</w:t>
      </w:r>
    </w:p>
    <w:p w14:paraId="3D394EBF" w14:textId="77777777" w:rsidR="0088572B" w:rsidRDefault="0088572B" w:rsidP="0088572B"/>
    <w:p w14:paraId="149C81BD" w14:textId="77777777" w:rsidR="00A238EE" w:rsidRDefault="00A238EE" w:rsidP="00A238EE">
      <w:pPr>
        <w:spacing w:line="240" w:lineRule="auto"/>
        <w:rPr>
          <w:rFonts w:cs="Arial"/>
        </w:rPr>
      </w:pPr>
    </w:p>
    <w:p w14:paraId="0D39030C" w14:textId="77777777" w:rsidR="001D19E1" w:rsidRPr="001D19E1" w:rsidRDefault="001D19E1" w:rsidP="001D19E1">
      <w:r w:rsidRPr="001D19E1">
        <w:t xml:space="preserve">It is an objective of the Development Plan Guidelines 2022 that an ‘Annual Development Plan Monitoring Report’ containing key information is assembled by the planning authority and made available to the elected members and published on the website of the planning authority.  Data from the Core Strategy Monitoring report on City Performance Indicators 2024 will be used as baseline information informing planning policy and the preparation of the next City Development Plan. </w:t>
      </w:r>
    </w:p>
    <w:p w14:paraId="5329FB69" w14:textId="77777777" w:rsidR="00A238EE" w:rsidRDefault="00A238EE"/>
    <w:p w14:paraId="3E8B16DC" w14:textId="2EAF85F3" w:rsidR="009F7299" w:rsidRPr="00016BA8" w:rsidRDefault="009F7299" w:rsidP="009F7299"/>
    <w:p w14:paraId="7460BEF8" w14:textId="77777777" w:rsidR="009F7299" w:rsidRDefault="009F7299"/>
    <w:p w14:paraId="2CE597CE" w14:textId="06204360" w:rsidR="0088572B" w:rsidRDefault="0088572B">
      <w:pPr>
        <w:rPr>
          <w:sz w:val="20"/>
          <w:szCs w:val="20"/>
        </w:rPr>
      </w:pPr>
      <w:r w:rsidRPr="00FF04A6">
        <w:rPr>
          <w:sz w:val="20"/>
          <w:szCs w:val="20"/>
        </w:rPr>
        <w:t>**************</w:t>
      </w:r>
    </w:p>
    <w:p w14:paraId="24F2F478" w14:textId="77777777" w:rsidR="009F7299" w:rsidRPr="00FF04A6" w:rsidRDefault="009F7299">
      <w:pPr>
        <w:rPr>
          <w:sz w:val="20"/>
          <w:szCs w:val="20"/>
        </w:rPr>
      </w:pPr>
    </w:p>
    <w:sectPr w:rsidR="009F7299" w:rsidRPr="00FF04A6" w:rsidSect="0091308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BF90" w14:textId="77777777" w:rsidR="007208AD" w:rsidRDefault="007208AD">
      <w:pPr>
        <w:spacing w:line="240" w:lineRule="auto"/>
      </w:pPr>
      <w:r>
        <w:separator/>
      </w:r>
    </w:p>
  </w:endnote>
  <w:endnote w:type="continuationSeparator" w:id="0">
    <w:p w14:paraId="304408D1" w14:textId="77777777" w:rsidR="007208AD" w:rsidRDefault="00720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V Boli"/>
    <w:panose1 w:val="00000000000000000000"/>
    <w:charset w:val="00"/>
    <w:family w:val="roman"/>
    <w:notTrueType/>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749D" w14:textId="77777777" w:rsidR="00720329" w:rsidRPr="00A162A1" w:rsidRDefault="00720329" w:rsidP="00A238EE">
    <w:pPr>
      <w:pStyle w:val="Footer"/>
      <w:rPr>
        <w:color w:val="8B8D8E"/>
      </w:rPr>
    </w:pPr>
    <w:r w:rsidRPr="00A162A1">
      <w:rPr>
        <w:color w:val="8B8D8E"/>
      </w:rPr>
      <w:t>Planning &amp; Property Development Department</w:t>
    </w:r>
  </w:p>
  <w:p w14:paraId="0734B6EE" w14:textId="70FB95DD" w:rsidR="00720329" w:rsidRPr="00DA4B7B" w:rsidRDefault="00720329" w:rsidP="00A238EE">
    <w:pPr>
      <w:pStyle w:val="Footer"/>
    </w:pPr>
    <w:r w:rsidRPr="00A162A1">
      <w:rPr>
        <w:color w:val="0082BB"/>
      </w:rPr>
      <w:t>Development Plan Implementation Team</w:t>
    </w:r>
    <w:r>
      <w:ptab w:relativeTo="margin" w:alignment="center" w:leader="none"/>
    </w:r>
    <w:r>
      <w:ptab w:relativeTo="margin" w:alignment="right" w:leader="none"/>
    </w:r>
    <w:r w:rsidRPr="00A162A1">
      <w:rPr>
        <w:color w:val="0082BB"/>
      </w:rPr>
      <w:fldChar w:fldCharType="begin"/>
    </w:r>
    <w:r w:rsidRPr="00A162A1">
      <w:rPr>
        <w:color w:val="0082BB"/>
      </w:rPr>
      <w:instrText xml:space="preserve"> PAGE   \* MERGEFORMAT </w:instrText>
    </w:r>
    <w:r w:rsidRPr="00A162A1">
      <w:rPr>
        <w:color w:val="0082BB"/>
      </w:rPr>
      <w:fldChar w:fldCharType="separate"/>
    </w:r>
    <w:r w:rsidR="00C12EC8">
      <w:rPr>
        <w:noProof/>
        <w:color w:val="0082BB"/>
      </w:rPr>
      <w:t>16</w:t>
    </w:r>
    <w:r w:rsidRPr="00A162A1">
      <w:rPr>
        <w:color w:val="0082B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D399" w14:textId="77777777" w:rsidR="007208AD" w:rsidRDefault="007208AD">
      <w:pPr>
        <w:spacing w:line="240" w:lineRule="auto"/>
      </w:pPr>
      <w:r>
        <w:separator/>
      </w:r>
    </w:p>
  </w:footnote>
  <w:footnote w:type="continuationSeparator" w:id="0">
    <w:p w14:paraId="3B690C94" w14:textId="77777777" w:rsidR="007208AD" w:rsidRDefault="00720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6F96" w14:textId="77777777" w:rsidR="00720329" w:rsidRPr="00642530" w:rsidRDefault="00720329" w:rsidP="00A238EE">
    <w:pPr>
      <w:pStyle w:val="Header"/>
      <w:rPr>
        <w:color w:val="8B8D8E"/>
      </w:rPr>
    </w:pPr>
    <w:r w:rsidRPr="00642530">
      <w:rPr>
        <w:noProof/>
        <w:color w:val="8B8D8E"/>
        <w:lang w:eastAsia="en-IE"/>
      </w:rPr>
      <w:drawing>
        <wp:anchor distT="0" distB="0" distL="114300" distR="114300" simplePos="0" relativeHeight="251659264" behindDoc="0" locked="0" layoutInCell="1" allowOverlap="1" wp14:anchorId="4C7AF9A0" wp14:editId="24C74EA9">
          <wp:simplePos x="0" y="0"/>
          <wp:positionH relativeFrom="margin">
            <wp:align>right</wp:align>
          </wp:positionH>
          <wp:positionV relativeFrom="paragraph">
            <wp:posOffset>6293</wp:posOffset>
          </wp:positionV>
          <wp:extent cx="1524000" cy="405130"/>
          <wp:effectExtent l="0" t="0" r="0" b="0"/>
          <wp:wrapThrough wrapText="bothSides">
            <wp:wrapPolygon edited="0">
              <wp:start x="7290" y="0"/>
              <wp:lineTo x="0" y="0"/>
              <wp:lineTo x="0" y="16251"/>
              <wp:lineTo x="2430" y="16251"/>
              <wp:lineTo x="2160" y="20313"/>
              <wp:lineTo x="14040" y="20313"/>
              <wp:lineTo x="15390" y="20313"/>
              <wp:lineTo x="21330" y="20313"/>
              <wp:lineTo x="21330" y="0"/>
              <wp:lineTo x="16470" y="0"/>
              <wp:lineTo x="7290" y="0"/>
            </wp:wrapPolygon>
          </wp:wrapThrough>
          <wp:docPr id="971280484" name="Picture 971280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C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405130"/>
                  </a:xfrm>
                  <a:prstGeom prst="rect">
                    <a:avLst/>
                  </a:prstGeom>
                </pic:spPr>
              </pic:pic>
            </a:graphicData>
          </a:graphic>
        </wp:anchor>
      </w:drawing>
    </w:r>
    <w:r w:rsidRPr="00642530">
      <w:rPr>
        <w:color w:val="8B8D8E"/>
      </w:rPr>
      <w:t>Dublin City Development Plan 2022 – 2028</w:t>
    </w:r>
  </w:p>
  <w:p w14:paraId="100A8551" w14:textId="77777777" w:rsidR="00720329" w:rsidRDefault="00720329" w:rsidP="00A238EE">
    <w:pPr>
      <w:pStyle w:val="Header"/>
      <w:rPr>
        <w:color w:val="0082BB"/>
      </w:rPr>
    </w:pPr>
    <w:r w:rsidRPr="000F66A7">
      <w:rPr>
        <w:color w:val="0082BB"/>
      </w:rPr>
      <w:t>Two-Year Progress Report 2024</w:t>
    </w:r>
  </w:p>
  <w:p w14:paraId="7EA93443" w14:textId="77777777" w:rsidR="00720329" w:rsidRPr="00DA4B7B" w:rsidRDefault="00720329" w:rsidP="00A238EE">
    <w:pPr>
      <w:pStyle w:val="Header"/>
      <w:rPr>
        <w:color w:val="0082B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5C"/>
    <w:multiLevelType w:val="hybridMultilevel"/>
    <w:tmpl w:val="ED6E156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6C663C"/>
    <w:multiLevelType w:val="hybridMultilevel"/>
    <w:tmpl w:val="51BABF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F41516"/>
    <w:multiLevelType w:val="hybridMultilevel"/>
    <w:tmpl w:val="51BABF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7724C4"/>
    <w:multiLevelType w:val="multilevel"/>
    <w:tmpl w:val="4BEAC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D3BF8"/>
    <w:multiLevelType w:val="hybridMultilevel"/>
    <w:tmpl w:val="51BABF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F2457A"/>
    <w:multiLevelType w:val="hybridMultilevel"/>
    <w:tmpl w:val="9246F06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4C006DC"/>
    <w:multiLevelType w:val="hybridMultilevel"/>
    <w:tmpl w:val="9C6C4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3551DA"/>
    <w:multiLevelType w:val="hybridMultilevel"/>
    <w:tmpl w:val="BACCB0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51700E"/>
    <w:multiLevelType w:val="hybridMultilevel"/>
    <w:tmpl w:val="BACCB0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140D9D"/>
    <w:multiLevelType w:val="hybridMultilevel"/>
    <w:tmpl w:val="51BABF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C30D85"/>
    <w:multiLevelType w:val="hybridMultilevel"/>
    <w:tmpl w:val="51BABF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CC7B45"/>
    <w:multiLevelType w:val="hybridMultilevel"/>
    <w:tmpl w:val="C5E43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282551"/>
    <w:multiLevelType w:val="hybridMultilevel"/>
    <w:tmpl w:val="A8E6F518"/>
    <w:lvl w:ilvl="0" w:tplc="91E6B26E">
      <w:start w:val="1"/>
      <w:numFmt w:val="lowerRoman"/>
      <w:lvlText w:val="(%1)"/>
      <w:lvlJc w:val="left"/>
      <w:pPr>
        <w:ind w:left="988" w:hanging="720"/>
      </w:pPr>
      <w:rPr>
        <w:rFonts w:hint="default"/>
      </w:rPr>
    </w:lvl>
    <w:lvl w:ilvl="1" w:tplc="18090019" w:tentative="1">
      <w:start w:val="1"/>
      <w:numFmt w:val="lowerLetter"/>
      <w:lvlText w:val="%2."/>
      <w:lvlJc w:val="left"/>
      <w:pPr>
        <w:ind w:left="1348" w:hanging="360"/>
      </w:pPr>
    </w:lvl>
    <w:lvl w:ilvl="2" w:tplc="1809001B" w:tentative="1">
      <w:start w:val="1"/>
      <w:numFmt w:val="lowerRoman"/>
      <w:lvlText w:val="%3."/>
      <w:lvlJc w:val="right"/>
      <w:pPr>
        <w:ind w:left="2068" w:hanging="180"/>
      </w:pPr>
    </w:lvl>
    <w:lvl w:ilvl="3" w:tplc="1809000F" w:tentative="1">
      <w:start w:val="1"/>
      <w:numFmt w:val="decimal"/>
      <w:lvlText w:val="%4."/>
      <w:lvlJc w:val="left"/>
      <w:pPr>
        <w:ind w:left="2788" w:hanging="360"/>
      </w:pPr>
    </w:lvl>
    <w:lvl w:ilvl="4" w:tplc="18090019" w:tentative="1">
      <w:start w:val="1"/>
      <w:numFmt w:val="lowerLetter"/>
      <w:lvlText w:val="%5."/>
      <w:lvlJc w:val="left"/>
      <w:pPr>
        <w:ind w:left="3508" w:hanging="360"/>
      </w:pPr>
    </w:lvl>
    <w:lvl w:ilvl="5" w:tplc="1809001B" w:tentative="1">
      <w:start w:val="1"/>
      <w:numFmt w:val="lowerRoman"/>
      <w:lvlText w:val="%6."/>
      <w:lvlJc w:val="right"/>
      <w:pPr>
        <w:ind w:left="4228" w:hanging="180"/>
      </w:pPr>
    </w:lvl>
    <w:lvl w:ilvl="6" w:tplc="1809000F" w:tentative="1">
      <w:start w:val="1"/>
      <w:numFmt w:val="decimal"/>
      <w:lvlText w:val="%7."/>
      <w:lvlJc w:val="left"/>
      <w:pPr>
        <w:ind w:left="4948" w:hanging="360"/>
      </w:pPr>
    </w:lvl>
    <w:lvl w:ilvl="7" w:tplc="18090019" w:tentative="1">
      <w:start w:val="1"/>
      <w:numFmt w:val="lowerLetter"/>
      <w:lvlText w:val="%8."/>
      <w:lvlJc w:val="left"/>
      <w:pPr>
        <w:ind w:left="5668" w:hanging="360"/>
      </w:pPr>
    </w:lvl>
    <w:lvl w:ilvl="8" w:tplc="1809001B" w:tentative="1">
      <w:start w:val="1"/>
      <w:numFmt w:val="lowerRoman"/>
      <w:lvlText w:val="%9."/>
      <w:lvlJc w:val="right"/>
      <w:pPr>
        <w:ind w:left="6388" w:hanging="180"/>
      </w:pPr>
    </w:lvl>
  </w:abstractNum>
  <w:abstractNum w:abstractNumId="13" w15:restartNumberingAfterBreak="0">
    <w:nsid w:val="4A624E92"/>
    <w:multiLevelType w:val="hybridMultilevel"/>
    <w:tmpl w:val="DA0A5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950A93"/>
    <w:multiLevelType w:val="hybridMultilevel"/>
    <w:tmpl w:val="B3D6A022"/>
    <w:lvl w:ilvl="0" w:tplc="58DAF90A">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5" w15:restartNumberingAfterBreak="0">
    <w:nsid w:val="51FB53DD"/>
    <w:multiLevelType w:val="hybridMultilevel"/>
    <w:tmpl w:val="381A979C"/>
    <w:styleLink w:val="Bullet"/>
    <w:lvl w:ilvl="0" w:tplc="B5C0276E">
      <w:start w:val="1"/>
      <w:numFmt w:val="bullet"/>
      <w:lvlText w:val="•"/>
      <w:lvlJc w:val="left"/>
      <w:pPr>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FFF853B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DD09AC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77CC78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838ACC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D0023D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77A4DA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0D6EEB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C80D7B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5348395A"/>
    <w:multiLevelType w:val="hybridMultilevel"/>
    <w:tmpl w:val="E47864D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67625C7"/>
    <w:multiLevelType w:val="hybridMultilevel"/>
    <w:tmpl w:val="51BABF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879700F"/>
    <w:multiLevelType w:val="hybridMultilevel"/>
    <w:tmpl w:val="F566F5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121878"/>
    <w:multiLevelType w:val="hybridMultilevel"/>
    <w:tmpl w:val="ACAA6E9C"/>
    <w:lvl w:ilvl="0" w:tplc="9398BD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5914556"/>
    <w:multiLevelType w:val="hybridMultilevel"/>
    <w:tmpl w:val="BACCB0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8E11CC"/>
    <w:multiLevelType w:val="hybridMultilevel"/>
    <w:tmpl w:val="4DC4C9A6"/>
    <w:lvl w:ilvl="0" w:tplc="6AEC66E8">
      <w:start w:val="3"/>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8A37909"/>
    <w:multiLevelType w:val="multilevel"/>
    <w:tmpl w:val="D3305D5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i w:val="0"/>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3" w15:restartNumberingAfterBreak="0">
    <w:nsid w:val="6B58519D"/>
    <w:multiLevelType w:val="hybridMultilevel"/>
    <w:tmpl w:val="14A6A4C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C5F430D"/>
    <w:multiLevelType w:val="multilevel"/>
    <w:tmpl w:val="8D72ECFC"/>
    <w:lvl w:ilvl="0">
      <w:start w:val="1"/>
      <w:numFmt w:val="lowerLetter"/>
      <w:lvlText w:val="%1)"/>
      <w:lvlJc w:val="left"/>
      <w:pPr>
        <w:ind w:left="720" w:hanging="360"/>
      </w:pPr>
      <w:rPr>
        <w:rFonts w:hint="default"/>
      </w:rPr>
    </w:lvl>
    <w:lvl w:ilvl="1">
      <w:start w:val="1"/>
      <w:numFmt w:val="lowerRoman"/>
      <w:lvlText w:val="%2)"/>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29F0B6A"/>
    <w:multiLevelType w:val="hybridMultilevel"/>
    <w:tmpl w:val="403A67F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6D179C0"/>
    <w:multiLevelType w:val="hybridMultilevel"/>
    <w:tmpl w:val="E22A0BB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7B857FB2"/>
    <w:multiLevelType w:val="hybridMultilevel"/>
    <w:tmpl w:val="BACCB07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4B3201"/>
    <w:multiLevelType w:val="hybridMultilevel"/>
    <w:tmpl w:val="51BABF1C"/>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35155487">
    <w:abstractNumId w:val="28"/>
  </w:num>
  <w:num w:numId="2" w16cid:durableId="1870484632">
    <w:abstractNumId w:val="14"/>
  </w:num>
  <w:num w:numId="3" w16cid:durableId="336272191">
    <w:abstractNumId w:val="24"/>
  </w:num>
  <w:num w:numId="4" w16cid:durableId="55595314">
    <w:abstractNumId w:val="15"/>
  </w:num>
  <w:num w:numId="5" w16cid:durableId="1768771338">
    <w:abstractNumId w:val="23"/>
  </w:num>
  <w:num w:numId="6" w16cid:durableId="1485317546">
    <w:abstractNumId w:val="22"/>
  </w:num>
  <w:num w:numId="7" w16cid:durableId="747770288">
    <w:abstractNumId w:val="0"/>
  </w:num>
  <w:num w:numId="8" w16cid:durableId="494610859">
    <w:abstractNumId w:val="27"/>
  </w:num>
  <w:num w:numId="9" w16cid:durableId="1236554733">
    <w:abstractNumId w:val="16"/>
  </w:num>
  <w:num w:numId="10" w16cid:durableId="1823232567">
    <w:abstractNumId w:val="25"/>
  </w:num>
  <w:num w:numId="11" w16cid:durableId="1753234804">
    <w:abstractNumId w:val="6"/>
  </w:num>
  <w:num w:numId="12" w16cid:durableId="244652946">
    <w:abstractNumId w:val="26"/>
  </w:num>
  <w:num w:numId="13" w16cid:durableId="1361249459">
    <w:abstractNumId w:val="11"/>
  </w:num>
  <w:num w:numId="14" w16cid:durableId="1343776179">
    <w:abstractNumId w:val="3"/>
  </w:num>
  <w:num w:numId="15" w16cid:durableId="194000290">
    <w:abstractNumId w:val="13"/>
  </w:num>
  <w:num w:numId="16" w16cid:durableId="502747746">
    <w:abstractNumId w:val="21"/>
  </w:num>
  <w:num w:numId="17" w16cid:durableId="349993157">
    <w:abstractNumId w:val="18"/>
  </w:num>
  <w:num w:numId="18" w16cid:durableId="1083991603">
    <w:abstractNumId w:val="2"/>
  </w:num>
  <w:num w:numId="19" w16cid:durableId="79255841">
    <w:abstractNumId w:val="10"/>
  </w:num>
  <w:num w:numId="20" w16cid:durableId="2006350879">
    <w:abstractNumId w:val="17"/>
  </w:num>
  <w:num w:numId="21" w16cid:durableId="939534536">
    <w:abstractNumId w:val="1"/>
  </w:num>
  <w:num w:numId="22" w16cid:durableId="1295598940">
    <w:abstractNumId w:val="4"/>
  </w:num>
  <w:num w:numId="23" w16cid:durableId="892082322">
    <w:abstractNumId w:val="9"/>
  </w:num>
  <w:num w:numId="24" w16cid:durableId="1075904552">
    <w:abstractNumId w:val="5"/>
  </w:num>
  <w:num w:numId="25" w16cid:durableId="1557815106">
    <w:abstractNumId w:val="12"/>
  </w:num>
  <w:num w:numId="26" w16cid:durableId="1078675896">
    <w:abstractNumId w:val="19"/>
  </w:num>
  <w:num w:numId="27" w16cid:durableId="1437869982">
    <w:abstractNumId w:val="7"/>
  </w:num>
  <w:num w:numId="28" w16cid:durableId="311951623">
    <w:abstractNumId w:val="8"/>
  </w:num>
  <w:num w:numId="29" w16cid:durableId="10144565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EE"/>
    <w:rsid w:val="00016BA8"/>
    <w:rsid w:val="000247F9"/>
    <w:rsid w:val="00034194"/>
    <w:rsid w:val="00036627"/>
    <w:rsid w:val="00041141"/>
    <w:rsid w:val="000531E8"/>
    <w:rsid w:val="000539A9"/>
    <w:rsid w:val="00064662"/>
    <w:rsid w:val="0007006C"/>
    <w:rsid w:val="0007534F"/>
    <w:rsid w:val="00075CBF"/>
    <w:rsid w:val="00076C0B"/>
    <w:rsid w:val="00087605"/>
    <w:rsid w:val="000973B3"/>
    <w:rsid w:val="00097F7F"/>
    <w:rsid w:val="000A0AAA"/>
    <w:rsid w:val="000A3BE4"/>
    <w:rsid w:val="000A47A1"/>
    <w:rsid w:val="000B261A"/>
    <w:rsid w:val="000E3BA0"/>
    <w:rsid w:val="000E5B37"/>
    <w:rsid w:val="001069F3"/>
    <w:rsid w:val="00106BB6"/>
    <w:rsid w:val="00111B4F"/>
    <w:rsid w:val="001148F2"/>
    <w:rsid w:val="001157D5"/>
    <w:rsid w:val="00120DE0"/>
    <w:rsid w:val="00126E62"/>
    <w:rsid w:val="001312B2"/>
    <w:rsid w:val="00136E64"/>
    <w:rsid w:val="00145F8A"/>
    <w:rsid w:val="00147948"/>
    <w:rsid w:val="001659A6"/>
    <w:rsid w:val="00166FE9"/>
    <w:rsid w:val="001707FF"/>
    <w:rsid w:val="001737D5"/>
    <w:rsid w:val="00174AA9"/>
    <w:rsid w:val="001762D2"/>
    <w:rsid w:val="00190B58"/>
    <w:rsid w:val="001951E8"/>
    <w:rsid w:val="001C2C06"/>
    <w:rsid w:val="001C2C31"/>
    <w:rsid w:val="001D12D7"/>
    <w:rsid w:val="001D19E1"/>
    <w:rsid w:val="001D4E7D"/>
    <w:rsid w:val="001D6684"/>
    <w:rsid w:val="001D7E75"/>
    <w:rsid w:val="001F0857"/>
    <w:rsid w:val="001F3DD8"/>
    <w:rsid w:val="001F5117"/>
    <w:rsid w:val="001F6A98"/>
    <w:rsid w:val="00202A53"/>
    <w:rsid w:val="002035FD"/>
    <w:rsid w:val="002063E0"/>
    <w:rsid w:val="00217B45"/>
    <w:rsid w:val="00217D9D"/>
    <w:rsid w:val="00217E0D"/>
    <w:rsid w:val="002272BA"/>
    <w:rsid w:val="00237C26"/>
    <w:rsid w:val="00246057"/>
    <w:rsid w:val="00256C92"/>
    <w:rsid w:val="00261093"/>
    <w:rsid w:val="00263997"/>
    <w:rsid w:val="002661B1"/>
    <w:rsid w:val="00267416"/>
    <w:rsid w:val="002906B6"/>
    <w:rsid w:val="00294410"/>
    <w:rsid w:val="002944E5"/>
    <w:rsid w:val="00295BA3"/>
    <w:rsid w:val="002A0602"/>
    <w:rsid w:val="002A2343"/>
    <w:rsid w:val="002A4C9F"/>
    <w:rsid w:val="002A60C6"/>
    <w:rsid w:val="002A6649"/>
    <w:rsid w:val="002B2D6C"/>
    <w:rsid w:val="002B6C08"/>
    <w:rsid w:val="002D0A27"/>
    <w:rsid w:val="002D655B"/>
    <w:rsid w:val="002E09EC"/>
    <w:rsid w:val="002E7AEE"/>
    <w:rsid w:val="002F2F37"/>
    <w:rsid w:val="002F730B"/>
    <w:rsid w:val="0031352D"/>
    <w:rsid w:val="003169EA"/>
    <w:rsid w:val="00320A6D"/>
    <w:rsid w:val="00325A65"/>
    <w:rsid w:val="00331736"/>
    <w:rsid w:val="00332E1E"/>
    <w:rsid w:val="0033537D"/>
    <w:rsid w:val="00336E32"/>
    <w:rsid w:val="003428E7"/>
    <w:rsid w:val="00342DB9"/>
    <w:rsid w:val="0034472D"/>
    <w:rsid w:val="003450C1"/>
    <w:rsid w:val="00346E4B"/>
    <w:rsid w:val="00347810"/>
    <w:rsid w:val="0035288D"/>
    <w:rsid w:val="00357436"/>
    <w:rsid w:val="0035749E"/>
    <w:rsid w:val="00364DFF"/>
    <w:rsid w:val="0037320A"/>
    <w:rsid w:val="0038090A"/>
    <w:rsid w:val="00383BF0"/>
    <w:rsid w:val="00383F9D"/>
    <w:rsid w:val="003840C7"/>
    <w:rsid w:val="003872EB"/>
    <w:rsid w:val="00391076"/>
    <w:rsid w:val="00393D35"/>
    <w:rsid w:val="00397263"/>
    <w:rsid w:val="0039726B"/>
    <w:rsid w:val="003974DA"/>
    <w:rsid w:val="003A0951"/>
    <w:rsid w:val="003A252E"/>
    <w:rsid w:val="003A3EB9"/>
    <w:rsid w:val="003A6527"/>
    <w:rsid w:val="003B025E"/>
    <w:rsid w:val="003B276F"/>
    <w:rsid w:val="003C0E82"/>
    <w:rsid w:val="003C6300"/>
    <w:rsid w:val="003D1906"/>
    <w:rsid w:val="003D4264"/>
    <w:rsid w:val="003E161D"/>
    <w:rsid w:val="003F572D"/>
    <w:rsid w:val="003F64FA"/>
    <w:rsid w:val="003F69FD"/>
    <w:rsid w:val="003F748C"/>
    <w:rsid w:val="004014CF"/>
    <w:rsid w:val="004067E7"/>
    <w:rsid w:val="004110E9"/>
    <w:rsid w:val="00416085"/>
    <w:rsid w:val="004236BA"/>
    <w:rsid w:val="0043392D"/>
    <w:rsid w:val="00436E6A"/>
    <w:rsid w:val="0044763E"/>
    <w:rsid w:val="004700E7"/>
    <w:rsid w:val="00471C5F"/>
    <w:rsid w:val="00481A77"/>
    <w:rsid w:val="00482264"/>
    <w:rsid w:val="00493A40"/>
    <w:rsid w:val="00496A45"/>
    <w:rsid w:val="004A1260"/>
    <w:rsid w:val="004A58B2"/>
    <w:rsid w:val="004C0AC1"/>
    <w:rsid w:val="004C4FAF"/>
    <w:rsid w:val="004D2E6C"/>
    <w:rsid w:val="004D3548"/>
    <w:rsid w:val="004E0010"/>
    <w:rsid w:val="004E3FA4"/>
    <w:rsid w:val="004E5BA1"/>
    <w:rsid w:val="00513636"/>
    <w:rsid w:val="00517FBF"/>
    <w:rsid w:val="0052708F"/>
    <w:rsid w:val="0053322C"/>
    <w:rsid w:val="0054152F"/>
    <w:rsid w:val="00541B10"/>
    <w:rsid w:val="00552C62"/>
    <w:rsid w:val="005541E6"/>
    <w:rsid w:val="00563589"/>
    <w:rsid w:val="00566E4A"/>
    <w:rsid w:val="005724C7"/>
    <w:rsid w:val="00576B0F"/>
    <w:rsid w:val="00576B96"/>
    <w:rsid w:val="00585BE6"/>
    <w:rsid w:val="00590AAB"/>
    <w:rsid w:val="00593E55"/>
    <w:rsid w:val="005A1F1E"/>
    <w:rsid w:val="005A4BC4"/>
    <w:rsid w:val="005A5431"/>
    <w:rsid w:val="005B4348"/>
    <w:rsid w:val="005B66A4"/>
    <w:rsid w:val="005C3D87"/>
    <w:rsid w:val="005C51DE"/>
    <w:rsid w:val="005E0883"/>
    <w:rsid w:val="005E62F0"/>
    <w:rsid w:val="005F3215"/>
    <w:rsid w:val="00606316"/>
    <w:rsid w:val="00606CEA"/>
    <w:rsid w:val="00620B09"/>
    <w:rsid w:val="00623DAB"/>
    <w:rsid w:val="0062582D"/>
    <w:rsid w:val="006260E3"/>
    <w:rsid w:val="0062770D"/>
    <w:rsid w:val="006279C0"/>
    <w:rsid w:val="00646193"/>
    <w:rsid w:val="0065156E"/>
    <w:rsid w:val="006520A4"/>
    <w:rsid w:val="00664372"/>
    <w:rsid w:val="00676399"/>
    <w:rsid w:val="00682E65"/>
    <w:rsid w:val="00686738"/>
    <w:rsid w:val="00692FDC"/>
    <w:rsid w:val="00693E96"/>
    <w:rsid w:val="006A2BA6"/>
    <w:rsid w:val="006A6546"/>
    <w:rsid w:val="006C3BA9"/>
    <w:rsid w:val="006C5F54"/>
    <w:rsid w:val="006C6C0B"/>
    <w:rsid w:val="006D14A5"/>
    <w:rsid w:val="006D1910"/>
    <w:rsid w:val="006D24B6"/>
    <w:rsid w:val="006D69BD"/>
    <w:rsid w:val="006E0F3D"/>
    <w:rsid w:val="006E5CC1"/>
    <w:rsid w:val="006E6244"/>
    <w:rsid w:val="006E627E"/>
    <w:rsid w:val="006F5AFC"/>
    <w:rsid w:val="00706FF6"/>
    <w:rsid w:val="00713DD3"/>
    <w:rsid w:val="00720329"/>
    <w:rsid w:val="007208AD"/>
    <w:rsid w:val="00720906"/>
    <w:rsid w:val="007308E5"/>
    <w:rsid w:val="00731EDF"/>
    <w:rsid w:val="00735D2C"/>
    <w:rsid w:val="00744B00"/>
    <w:rsid w:val="00745111"/>
    <w:rsid w:val="00746FF8"/>
    <w:rsid w:val="0074705E"/>
    <w:rsid w:val="00747F12"/>
    <w:rsid w:val="0075137B"/>
    <w:rsid w:val="00757F5D"/>
    <w:rsid w:val="0077533A"/>
    <w:rsid w:val="0077582A"/>
    <w:rsid w:val="00776413"/>
    <w:rsid w:val="00777F98"/>
    <w:rsid w:val="00781B0D"/>
    <w:rsid w:val="00792621"/>
    <w:rsid w:val="00793876"/>
    <w:rsid w:val="0079582E"/>
    <w:rsid w:val="00796D7C"/>
    <w:rsid w:val="007A0417"/>
    <w:rsid w:val="007A35B9"/>
    <w:rsid w:val="007A553A"/>
    <w:rsid w:val="007A63AD"/>
    <w:rsid w:val="007A6CCE"/>
    <w:rsid w:val="007B1ED4"/>
    <w:rsid w:val="007C6F04"/>
    <w:rsid w:val="007D736A"/>
    <w:rsid w:val="007F2938"/>
    <w:rsid w:val="007F61E6"/>
    <w:rsid w:val="00807463"/>
    <w:rsid w:val="00815A55"/>
    <w:rsid w:val="00820A81"/>
    <w:rsid w:val="00825666"/>
    <w:rsid w:val="00827B19"/>
    <w:rsid w:val="00830E92"/>
    <w:rsid w:val="00833FE6"/>
    <w:rsid w:val="00847EBF"/>
    <w:rsid w:val="00847F12"/>
    <w:rsid w:val="00856564"/>
    <w:rsid w:val="00861FB1"/>
    <w:rsid w:val="00863765"/>
    <w:rsid w:val="00876056"/>
    <w:rsid w:val="0087759D"/>
    <w:rsid w:val="00877D55"/>
    <w:rsid w:val="0088572B"/>
    <w:rsid w:val="00895A24"/>
    <w:rsid w:val="008A0758"/>
    <w:rsid w:val="008A37C2"/>
    <w:rsid w:val="008B1913"/>
    <w:rsid w:val="008B32FB"/>
    <w:rsid w:val="008B3D33"/>
    <w:rsid w:val="008B7413"/>
    <w:rsid w:val="008C2AED"/>
    <w:rsid w:val="008D0857"/>
    <w:rsid w:val="008D324F"/>
    <w:rsid w:val="008D7A68"/>
    <w:rsid w:val="008E2017"/>
    <w:rsid w:val="008E2AED"/>
    <w:rsid w:val="008E58AA"/>
    <w:rsid w:val="00901ED6"/>
    <w:rsid w:val="009064F5"/>
    <w:rsid w:val="00913089"/>
    <w:rsid w:val="00921E69"/>
    <w:rsid w:val="009240CE"/>
    <w:rsid w:val="00925D85"/>
    <w:rsid w:val="00932CF8"/>
    <w:rsid w:val="00933E68"/>
    <w:rsid w:val="009371B5"/>
    <w:rsid w:val="009418AC"/>
    <w:rsid w:val="00942BC2"/>
    <w:rsid w:val="00952164"/>
    <w:rsid w:val="00952659"/>
    <w:rsid w:val="00953B1A"/>
    <w:rsid w:val="009600E7"/>
    <w:rsid w:val="00960AA2"/>
    <w:rsid w:val="00972D2E"/>
    <w:rsid w:val="0097463A"/>
    <w:rsid w:val="00977593"/>
    <w:rsid w:val="009821B2"/>
    <w:rsid w:val="00984E9D"/>
    <w:rsid w:val="0098593A"/>
    <w:rsid w:val="00992734"/>
    <w:rsid w:val="009A1276"/>
    <w:rsid w:val="009A2BE4"/>
    <w:rsid w:val="009A2F27"/>
    <w:rsid w:val="009B364B"/>
    <w:rsid w:val="009B43C3"/>
    <w:rsid w:val="009B447C"/>
    <w:rsid w:val="009C15D0"/>
    <w:rsid w:val="009C669D"/>
    <w:rsid w:val="009D10B7"/>
    <w:rsid w:val="009E1B31"/>
    <w:rsid w:val="009E55EA"/>
    <w:rsid w:val="009E7F85"/>
    <w:rsid w:val="009F18B7"/>
    <w:rsid w:val="009F2AD4"/>
    <w:rsid w:val="009F7299"/>
    <w:rsid w:val="00A11124"/>
    <w:rsid w:val="00A238EE"/>
    <w:rsid w:val="00A240C4"/>
    <w:rsid w:val="00A24B64"/>
    <w:rsid w:val="00A2667A"/>
    <w:rsid w:val="00A33435"/>
    <w:rsid w:val="00A33483"/>
    <w:rsid w:val="00A34019"/>
    <w:rsid w:val="00A40D25"/>
    <w:rsid w:val="00A56745"/>
    <w:rsid w:val="00A75E83"/>
    <w:rsid w:val="00A84BEA"/>
    <w:rsid w:val="00A9408C"/>
    <w:rsid w:val="00AA2C84"/>
    <w:rsid w:val="00AA53FA"/>
    <w:rsid w:val="00AB1B42"/>
    <w:rsid w:val="00AC4A42"/>
    <w:rsid w:val="00AC75E1"/>
    <w:rsid w:val="00AD1200"/>
    <w:rsid w:val="00AD6B6A"/>
    <w:rsid w:val="00AE12B7"/>
    <w:rsid w:val="00AE37C7"/>
    <w:rsid w:val="00AE4BAE"/>
    <w:rsid w:val="00AF7D80"/>
    <w:rsid w:val="00B00272"/>
    <w:rsid w:val="00B0180C"/>
    <w:rsid w:val="00B131BD"/>
    <w:rsid w:val="00B13B4A"/>
    <w:rsid w:val="00B27EB3"/>
    <w:rsid w:val="00B30118"/>
    <w:rsid w:val="00B37105"/>
    <w:rsid w:val="00B40A47"/>
    <w:rsid w:val="00B53B84"/>
    <w:rsid w:val="00B5589B"/>
    <w:rsid w:val="00B568D1"/>
    <w:rsid w:val="00B606A7"/>
    <w:rsid w:val="00B6696C"/>
    <w:rsid w:val="00B67654"/>
    <w:rsid w:val="00B67AD3"/>
    <w:rsid w:val="00B67D74"/>
    <w:rsid w:val="00B74330"/>
    <w:rsid w:val="00B80142"/>
    <w:rsid w:val="00B84DE8"/>
    <w:rsid w:val="00B87911"/>
    <w:rsid w:val="00B91449"/>
    <w:rsid w:val="00B91D54"/>
    <w:rsid w:val="00B927A0"/>
    <w:rsid w:val="00B93174"/>
    <w:rsid w:val="00BA1587"/>
    <w:rsid w:val="00BA3650"/>
    <w:rsid w:val="00BA4FE1"/>
    <w:rsid w:val="00BB3722"/>
    <w:rsid w:val="00BB4EBD"/>
    <w:rsid w:val="00BC2522"/>
    <w:rsid w:val="00BD0574"/>
    <w:rsid w:val="00BD079F"/>
    <w:rsid w:val="00BD5ACD"/>
    <w:rsid w:val="00BE350F"/>
    <w:rsid w:val="00BE38D2"/>
    <w:rsid w:val="00BE62FD"/>
    <w:rsid w:val="00BF424B"/>
    <w:rsid w:val="00BF4839"/>
    <w:rsid w:val="00C00A21"/>
    <w:rsid w:val="00C02AF7"/>
    <w:rsid w:val="00C12EC8"/>
    <w:rsid w:val="00C16B29"/>
    <w:rsid w:val="00C16CAF"/>
    <w:rsid w:val="00C24047"/>
    <w:rsid w:val="00C256D9"/>
    <w:rsid w:val="00C26C15"/>
    <w:rsid w:val="00C51238"/>
    <w:rsid w:val="00C55403"/>
    <w:rsid w:val="00C56F3A"/>
    <w:rsid w:val="00C6446E"/>
    <w:rsid w:val="00C73561"/>
    <w:rsid w:val="00C737A5"/>
    <w:rsid w:val="00C851CD"/>
    <w:rsid w:val="00C9085A"/>
    <w:rsid w:val="00CA5F7C"/>
    <w:rsid w:val="00CA72CA"/>
    <w:rsid w:val="00CB4327"/>
    <w:rsid w:val="00CB4ED7"/>
    <w:rsid w:val="00CB7084"/>
    <w:rsid w:val="00CC20A3"/>
    <w:rsid w:val="00CC5772"/>
    <w:rsid w:val="00CC5D0F"/>
    <w:rsid w:val="00CE1455"/>
    <w:rsid w:val="00CE5280"/>
    <w:rsid w:val="00CF06BC"/>
    <w:rsid w:val="00D0089B"/>
    <w:rsid w:val="00D016D7"/>
    <w:rsid w:val="00D01EDE"/>
    <w:rsid w:val="00D1257E"/>
    <w:rsid w:val="00D16907"/>
    <w:rsid w:val="00D210BC"/>
    <w:rsid w:val="00D216B8"/>
    <w:rsid w:val="00D26CEF"/>
    <w:rsid w:val="00D3535B"/>
    <w:rsid w:val="00D37ED7"/>
    <w:rsid w:val="00D4760E"/>
    <w:rsid w:val="00D73EFA"/>
    <w:rsid w:val="00D746EB"/>
    <w:rsid w:val="00D820A1"/>
    <w:rsid w:val="00D85B17"/>
    <w:rsid w:val="00DA3095"/>
    <w:rsid w:val="00DB0C95"/>
    <w:rsid w:val="00DC0699"/>
    <w:rsid w:val="00DC4656"/>
    <w:rsid w:val="00DF3BC9"/>
    <w:rsid w:val="00E00381"/>
    <w:rsid w:val="00E00EFD"/>
    <w:rsid w:val="00E04A8F"/>
    <w:rsid w:val="00E104FD"/>
    <w:rsid w:val="00E122B2"/>
    <w:rsid w:val="00E168F0"/>
    <w:rsid w:val="00E26909"/>
    <w:rsid w:val="00E30D8E"/>
    <w:rsid w:val="00E51A8C"/>
    <w:rsid w:val="00E65F40"/>
    <w:rsid w:val="00E73EEC"/>
    <w:rsid w:val="00E759BA"/>
    <w:rsid w:val="00E81245"/>
    <w:rsid w:val="00E83BD7"/>
    <w:rsid w:val="00E92528"/>
    <w:rsid w:val="00EA1553"/>
    <w:rsid w:val="00EA2259"/>
    <w:rsid w:val="00EA7CA3"/>
    <w:rsid w:val="00ED4C74"/>
    <w:rsid w:val="00EE023D"/>
    <w:rsid w:val="00EE161B"/>
    <w:rsid w:val="00EF0E48"/>
    <w:rsid w:val="00F038B5"/>
    <w:rsid w:val="00F05C9F"/>
    <w:rsid w:val="00F11595"/>
    <w:rsid w:val="00F13051"/>
    <w:rsid w:val="00F146DB"/>
    <w:rsid w:val="00F22936"/>
    <w:rsid w:val="00F55BF7"/>
    <w:rsid w:val="00F64B88"/>
    <w:rsid w:val="00F67B0D"/>
    <w:rsid w:val="00F811A1"/>
    <w:rsid w:val="00F8486A"/>
    <w:rsid w:val="00F86E60"/>
    <w:rsid w:val="00F944E6"/>
    <w:rsid w:val="00F9482F"/>
    <w:rsid w:val="00F95A22"/>
    <w:rsid w:val="00F97CD3"/>
    <w:rsid w:val="00FA2640"/>
    <w:rsid w:val="00FA565C"/>
    <w:rsid w:val="00FC0EF8"/>
    <w:rsid w:val="00FC1AFD"/>
    <w:rsid w:val="00FD03DA"/>
    <w:rsid w:val="00FD203F"/>
    <w:rsid w:val="00FD3817"/>
    <w:rsid w:val="00FD6D1A"/>
    <w:rsid w:val="00FD6F62"/>
    <w:rsid w:val="00FD7238"/>
    <w:rsid w:val="00FE1EFE"/>
    <w:rsid w:val="00FF04A6"/>
    <w:rsid w:val="00FF1C5A"/>
    <w:rsid w:val="00FF6F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A17F"/>
  <w15:chartTrackingRefBased/>
  <w15:docId w15:val="{912CB8D6-7110-4933-BF9C-EDA4460E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port Text"/>
    <w:qFormat/>
    <w:rsid w:val="00A238EE"/>
    <w:pPr>
      <w:spacing w:after="0"/>
      <w:jc w:val="both"/>
    </w:pPr>
    <w:rPr>
      <w:rFonts w:ascii="Arial" w:hAnsi="Arial"/>
    </w:rPr>
  </w:style>
  <w:style w:type="paragraph" w:styleId="Heading1">
    <w:name w:val="heading 1"/>
    <w:basedOn w:val="Normal"/>
    <w:link w:val="Heading1Char"/>
    <w:uiPriority w:val="9"/>
    <w:qFormat/>
    <w:rsid w:val="00A238EE"/>
    <w:pPr>
      <w:keepNext/>
      <w:numPr>
        <w:numId w:val="6"/>
      </w:numPr>
      <w:spacing w:line="240" w:lineRule="auto"/>
      <w:ind w:right="-46"/>
      <w:outlineLvl w:val="0"/>
    </w:pPr>
    <w:rPr>
      <w:rFonts w:eastAsia="Times" w:cs="Arial"/>
      <w:b/>
      <w:lang w:val="en-GB"/>
    </w:rPr>
  </w:style>
  <w:style w:type="paragraph" w:styleId="Heading2">
    <w:name w:val="heading 2"/>
    <w:basedOn w:val="Normal"/>
    <w:next w:val="Normal"/>
    <w:link w:val="Heading2Char"/>
    <w:uiPriority w:val="9"/>
    <w:unhideWhenUsed/>
    <w:qFormat/>
    <w:rsid w:val="00A238EE"/>
    <w:pPr>
      <w:keepNext/>
      <w:numPr>
        <w:ilvl w:val="1"/>
        <w:numId w:val="6"/>
      </w:numPr>
      <w:spacing w:line="240" w:lineRule="auto"/>
      <w:ind w:right="-46"/>
      <w:outlineLvl w:val="1"/>
    </w:pPr>
    <w:rPr>
      <w:rFonts w:eastAsia="Times" w:cs="Arial"/>
      <w:b/>
      <w:lang w:val="en-GB"/>
    </w:rPr>
  </w:style>
  <w:style w:type="paragraph" w:styleId="Heading3">
    <w:name w:val="heading 3"/>
    <w:basedOn w:val="Normal"/>
    <w:next w:val="Normal"/>
    <w:link w:val="Heading3Char"/>
    <w:uiPriority w:val="9"/>
    <w:unhideWhenUsed/>
    <w:qFormat/>
    <w:rsid w:val="00A238EE"/>
    <w:pPr>
      <w:keepNext/>
      <w:keepLines/>
      <w:numPr>
        <w:ilvl w:val="2"/>
        <w:numId w:val="6"/>
      </w:numPr>
      <w:outlineLvl w:val="2"/>
    </w:pPr>
    <w:rPr>
      <w:rFonts w:eastAsiaTheme="majorEastAsia" w:cs="Arial"/>
      <w:b/>
    </w:rPr>
  </w:style>
  <w:style w:type="paragraph" w:styleId="Heading4">
    <w:name w:val="heading 4"/>
    <w:basedOn w:val="Normal"/>
    <w:next w:val="Normal"/>
    <w:link w:val="Heading4Char"/>
    <w:uiPriority w:val="9"/>
    <w:semiHidden/>
    <w:unhideWhenUsed/>
    <w:qFormat/>
    <w:rsid w:val="00A238EE"/>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38EE"/>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238EE"/>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238EE"/>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238EE"/>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8EE"/>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8EE"/>
    <w:rPr>
      <w:rFonts w:ascii="Arial" w:eastAsia="Times" w:hAnsi="Arial" w:cs="Arial"/>
      <w:b/>
      <w:lang w:val="en-GB"/>
    </w:rPr>
  </w:style>
  <w:style w:type="character" w:customStyle="1" w:styleId="Heading2Char">
    <w:name w:val="Heading 2 Char"/>
    <w:basedOn w:val="DefaultParagraphFont"/>
    <w:link w:val="Heading2"/>
    <w:uiPriority w:val="9"/>
    <w:rsid w:val="00A238EE"/>
    <w:rPr>
      <w:rFonts w:ascii="Arial" w:eastAsia="Times" w:hAnsi="Arial" w:cs="Arial"/>
      <w:b/>
      <w:lang w:val="en-GB"/>
    </w:rPr>
  </w:style>
  <w:style w:type="character" w:customStyle="1" w:styleId="Heading3Char">
    <w:name w:val="Heading 3 Char"/>
    <w:basedOn w:val="DefaultParagraphFont"/>
    <w:link w:val="Heading3"/>
    <w:uiPriority w:val="9"/>
    <w:rsid w:val="00A238EE"/>
    <w:rPr>
      <w:rFonts w:ascii="Arial" w:eastAsiaTheme="majorEastAsia" w:hAnsi="Arial" w:cs="Arial"/>
      <w:b/>
    </w:rPr>
  </w:style>
  <w:style w:type="character" w:customStyle="1" w:styleId="Heading4Char">
    <w:name w:val="Heading 4 Char"/>
    <w:basedOn w:val="DefaultParagraphFont"/>
    <w:link w:val="Heading4"/>
    <w:uiPriority w:val="9"/>
    <w:semiHidden/>
    <w:rsid w:val="00A238E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238E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238E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238E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238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38E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2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8EE"/>
    <w:rPr>
      <w:color w:val="0000FF"/>
      <w:u w:val="single"/>
    </w:rPr>
  </w:style>
  <w:style w:type="paragraph" w:styleId="ListParagraph">
    <w:name w:val="List Paragraph"/>
    <w:basedOn w:val="Normal"/>
    <w:uiPriority w:val="34"/>
    <w:qFormat/>
    <w:rsid w:val="00A238EE"/>
    <w:pPr>
      <w:ind w:left="720"/>
      <w:contextualSpacing/>
    </w:pPr>
  </w:style>
  <w:style w:type="paragraph" w:styleId="Caption">
    <w:name w:val="caption"/>
    <w:basedOn w:val="Normal"/>
    <w:next w:val="Normal"/>
    <w:uiPriority w:val="35"/>
    <w:unhideWhenUsed/>
    <w:qFormat/>
    <w:rsid w:val="00A238EE"/>
    <w:pPr>
      <w:spacing w:after="120"/>
      <w:contextualSpacing/>
      <w:jc w:val="center"/>
    </w:pPr>
    <w:rPr>
      <w:rFonts w:eastAsia="Calibri" w:cstheme="minorHAnsi"/>
      <w:b/>
      <w:bCs/>
      <w:szCs w:val="16"/>
    </w:rPr>
  </w:style>
  <w:style w:type="table" w:styleId="GridTable4-Accent1">
    <w:name w:val="Grid Table 4 Accent 1"/>
    <w:basedOn w:val="TableNormal"/>
    <w:uiPriority w:val="49"/>
    <w:rsid w:val="00A238E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A238E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A238EE"/>
    <w:pPr>
      <w:tabs>
        <w:tab w:val="center" w:pos="4513"/>
        <w:tab w:val="right" w:pos="9026"/>
      </w:tabs>
      <w:spacing w:line="240" w:lineRule="auto"/>
    </w:pPr>
  </w:style>
  <w:style w:type="character" w:customStyle="1" w:styleId="HeaderChar">
    <w:name w:val="Header Char"/>
    <w:basedOn w:val="DefaultParagraphFont"/>
    <w:link w:val="Header"/>
    <w:uiPriority w:val="99"/>
    <w:rsid w:val="00A238EE"/>
    <w:rPr>
      <w:rFonts w:ascii="Arial" w:hAnsi="Arial"/>
    </w:rPr>
  </w:style>
  <w:style w:type="paragraph" w:styleId="Footer">
    <w:name w:val="footer"/>
    <w:basedOn w:val="Normal"/>
    <w:link w:val="FooterChar"/>
    <w:uiPriority w:val="99"/>
    <w:unhideWhenUsed/>
    <w:rsid w:val="00A238EE"/>
    <w:pPr>
      <w:tabs>
        <w:tab w:val="center" w:pos="4513"/>
        <w:tab w:val="right" w:pos="9026"/>
      </w:tabs>
      <w:spacing w:line="240" w:lineRule="auto"/>
    </w:pPr>
  </w:style>
  <w:style w:type="character" w:customStyle="1" w:styleId="FooterChar">
    <w:name w:val="Footer Char"/>
    <w:basedOn w:val="DefaultParagraphFont"/>
    <w:link w:val="Footer"/>
    <w:uiPriority w:val="99"/>
    <w:rsid w:val="00A238EE"/>
    <w:rPr>
      <w:rFonts w:ascii="Arial" w:hAnsi="Arial"/>
    </w:rPr>
  </w:style>
  <w:style w:type="character" w:styleId="Strong">
    <w:name w:val="Strong"/>
    <w:basedOn w:val="DefaultParagraphFont"/>
    <w:uiPriority w:val="22"/>
    <w:qFormat/>
    <w:rsid w:val="00A238EE"/>
    <w:rPr>
      <w:b/>
      <w:bCs/>
    </w:rPr>
  </w:style>
  <w:style w:type="character" w:styleId="FollowedHyperlink">
    <w:name w:val="FollowedHyperlink"/>
    <w:basedOn w:val="DefaultParagraphFont"/>
    <w:uiPriority w:val="99"/>
    <w:semiHidden/>
    <w:unhideWhenUsed/>
    <w:rsid w:val="00A238EE"/>
    <w:rPr>
      <w:color w:val="954F72" w:themeColor="followedHyperlink"/>
      <w:u w:val="single"/>
    </w:rPr>
  </w:style>
  <w:style w:type="paragraph" w:styleId="BalloonText">
    <w:name w:val="Balloon Text"/>
    <w:basedOn w:val="Normal"/>
    <w:link w:val="BalloonTextChar"/>
    <w:uiPriority w:val="99"/>
    <w:semiHidden/>
    <w:unhideWhenUsed/>
    <w:rsid w:val="00A23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8EE"/>
    <w:rPr>
      <w:rFonts w:ascii="Segoe UI" w:hAnsi="Segoe UI" w:cs="Segoe UI"/>
      <w:sz w:val="18"/>
      <w:szCs w:val="18"/>
    </w:rPr>
  </w:style>
  <w:style w:type="paragraph" w:styleId="NoSpacing">
    <w:name w:val="No Spacing"/>
    <w:aliases w:val="DCC Report No Spacing"/>
    <w:uiPriority w:val="1"/>
    <w:qFormat/>
    <w:rsid w:val="00A238EE"/>
    <w:pPr>
      <w:spacing w:after="0" w:line="240" w:lineRule="auto"/>
    </w:pPr>
  </w:style>
  <w:style w:type="character" w:customStyle="1" w:styleId="fontstyle01">
    <w:name w:val="fontstyle01"/>
    <w:basedOn w:val="DefaultParagraphFont"/>
    <w:rsid w:val="00A238EE"/>
    <w:rPr>
      <w:rFonts w:ascii="ArialMT" w:hAnsi="ArialMT" w:hint="default"/>
      <w:b w:val="0"/>
      <w:bCs w:val="0"/>
      <w:i w:val="0"/>
      <w:iCs w:val="0"/>
      <w:color w:val="000000"/>
      <w:sz w:val="22"/>
      <w:szCs w:val="22"/>
    </w:rPr>
  </w:style>
  <w:style w:type="character" w:customStyle="1" w:styleId="field">
    <w:name w:val="field"/>
    <w:basedOn w:val="DefaultParagraphFont"/>
    <w:rsid w:val="00A238EE"/>
  </w:style>
  <w:style w:type="paragraph" w:styleId="FootnoteText">
    <w:name w:val="footnote text"/>
    <w:basedOn w:val="Normal"/>
    <w:link w:val="FootnoteTextChar"/>
    <w:uiPriority w:val="99"/>
    <w:semiHidden/>
    <w:unhideWhenUsed/>
    <w:rsid w:val="00A238EE"/>
    <w:pPr>
      <w:spacing w:line="240" w:lineRule="auto"/>
    </w:pPr>
    <w:rPr>
      <w:sz w:val="20"/>
      <w:szCs w:val="20"/>
    </w:rPr>
  </w:style>
  <w:style w:type="character" w:customStyle="1" w:styleId="FootnoteTextChar">
    <w:name w:val="Footnote Text Char"/>
    <w:basedOn w:val="DefaultParagraphFont"/>
    <w:link w:val="FootnoteText"/>
    <w:uiPriority w:val="99"/>
    <w:semiHidden/>
    <w:rsid w:val="00A238EE"/>
    <w:rPr>
      <w:rFonts w:ascii="Arial" w:hAnsi="Arial"/>
      <w:sz w:val="20"/>
      <w:szCs w:val="20"/>
    </w:rPr>
  </w:style>
  <w:style w:type="character" w:styleId="FootnoteReference">
    <w:name w:val="footnote reference"/>
    <w:basedOn w:val="DefaultParagraphFont"/>
    <w:uiPriority w:val="99"/>
    <w:semiHidden/>
    <w:unhideWhenUsed/>
    <w:rsid w:val="00A238EE"/>
    <w:rPr>
      <w:vertAlign w:val="superscript"/>
    </w:rPr>
  </w:style>
  <w:style w:type="paragraph" w:styleId="TOCHeading">
    <w:name w:val="TOC Heading"/>
    <w:basedOn w:val="Heading1"/>
    <w:next w:val="Normal"/>
    <w:uiPriority w:val="39"/>
    <w:unhideWhenUsed/>
    <w:qFormat/>
    <w:rsid w:val="00A238EE"/>
    <w:pPr>
      <w:keepLines/>
      <w:spacing w:before="24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A238EE"/>
    <w:pPr>
      <w:tabs>
        <w:tab w:val="left" w:pos="851"/>
        <w:tab w:val="right" w:leader="dot" w:pos="6615"/>
      </w:tabs>
      <w:spacing w:after="100"/>
      <w:ind w:left="426" w:rightChars="567" w:right="1247" w:hanging="426"/>
      <w:jc w:val="left"/>
    </w:pPr>
    <w:rPr>
      <w:sz w:val="16"/>
      <w:szCs w:val="16"/>
    </w:rPr>
  </w:style>
  <w:style w:type="paragraph" w:styleId="TOC2">
    <w:name w:val="toc 2"/>
    <w:basedOn w:val="Normal"/>
    <w:next w:val="Normal"/>
    <w:autoRedefine/>
    <w:uiPriority w:val="39"/>
    <w:unhideWhenUsed/>
    <w:rsid w:val="00A238EE"/>
    <w:pPr>
      <w:tabs>
        <w:tab w:val="left" w:pos="880"/>
        <w:tab w:val="right" w:leader="dot" w:pos="6615"/>
      </w:tabs>
      <w:spacing w:after="100"/>
      <w:ind w:left="709" w:rightChars="567" w:right="1247" w:hanging="500"/>
      <w:jc w:val="left"/>
    </w:pPr>
    <w:rPr>
      <w:b/>
      <w:noProof/>
      <w:sz w:val="28"/>
      <w:szCs w:val="28"/>
    </w:rPr>
  </w:style>
  <w:style w:type="paragraph" w:customStyle="1" w:styleId="Body">
    <w:name w:val="Body"/>
    <w:rsid w:val="00A238E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IE"/>
      <w14:textOutline w14:w="0" w14:cap="flat" w14:cmpd="sng" w14:algn="ctr">
        <w14:noFill/>
        <w14:prstDash w14:val="solid"/>
        <w14:bevel/>
      </w14:textOutline>
    </w:rPr>
  </w:style>
  <w:style w:type="numbering" w:customStyle="1" w:styleId="Bullet">
    <w:name w:val="Bullet"/>
    <w:rsid w:val="00A238EE"/>
    <w:pPr>
      <w:numPr>
        <w:numId w:val="4"/>
      </w:numPr>
    </w:pPr>
  </w:style>
  <w:style w:type="table" w:styleId="PlainTable1">
    <w:name w:val="Plain Table 1"/>
    <w:basedOn w:val="TableNormal"/>
    <w:uiPriority w:val="41"/>
    <w:rsid w:val="00A238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rahChar">
    <w:name w:val="Sarah Char"/>
    <w:basedOn w:val="DefaultParagraphFont"/>
    <w:link w:val="Sarah"/>
    <w:locked/>
    <w:rsid w:val="00A238EE"/>
    <w:rPr>
      <w:rFonts w:ascii="Arial" w:hAnsi="Arial" w:cs="Arial"/>
    </w:rPr>
  </w:style>
  <w:style w:type="paragraph" w:customStyle="1" w:styleId="Sarah">
    <w:name w:val="Sarah"/>
    <w:basedOn w:val="Normal"/>
    <w:link w:val="SarahChar"/>
    <w:qFormat/>
    <w:rsid w:val="00A238EE"/>
    <w:pPr>
      <w:spacing w:line="240" w:lineRule="auto"/>
      <w:ind w:left="720"/>
    </w:pPr>
    <w:rPr>
      <w:rFonts w:cs="Arial"/>
    </w:rPr>
  </w:style>
  <w:style w:type="character" w:styleId="CommentReference">
    <w:name w:val="annotation reference"/>
    <w:basedOn w:val="DefaultParagraphFont"/>
    <w:uiPriority w:val="99"/>
    <w:semiHidden/>
    <w:unhideWhenUsed/>
    <w:rsid w:val="00A238EE"/>
    <w:rPr>
      <w:sz w:val="16"/>
      <w:szCs w:val="16"/>
    </w:rPr>
  </w:style>
  <w:style w:type="paragraph" w:styleId="CommentText">
    <w:name w:val="annotation text"/>
    <w:basedOn w:val="Normal"/>
    <w:link w:val="CommentTextChar"/>
    <w:uiPriority w:val="99"/>
    <w:semiHidden/>
    <w:unhideWhenUsed/>
    <w:rsid w:val="00A238EE"/>
    <w:pPr>
      <w:spacing w:line="240" w:lineRule="auto"/>
    </w:pPr>
    <w:rPr>
      <w:sz w:val="20"/>
      <w:szCs w:val="20"/>
    </w:rPr>
  </w:style>
  <w:style w:type="character" w:customStyle="1" w:styleId="CommentTextChar">
    <w:name w:val="Comment Text Char"/>
    <w:basedOn w:val="DefaultParagraphFont"/>
    <w:link w:val="CommentText"/>
    <w:uiPriority w:val="99"/>
    <w:semiHidden/>
    <w:rsid w:val="00A238E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38EE"/>
    <w:rPr>
      <w:b/>
      <w:bCs/>
    </w:rPr>
  </w:style>
  <w:style w:type="character" w:customStyle="1" w:styleId="CommentSubjectChar">
    <w:name w:val="Comment Subject Char"/>
    <w:basedOn w:val="CommentTextChar"/>
    <w:link w:val="CommentSubject"/>
    <w:uiPriority w:val="99"/>
    <w:semiHidden/>
    <w:rsid w:val="00A238EE"/>
    <w:rPr>
      <w:rFonts w:ascii="Arial" w:hAnsi="Arial"/>
      <w:b/>
      <w:bCs/>
      <w:sz w:val="20"/>
      <w:szCs w:val="20"/>
    </w:rPr>
  </w:style>
  <w:style w:type="paragraph" w:styleId="Revision">
    <w:name w:val="Revision"/>
    <w:hidden/>
    <w:uiPriority w:val="99"/>
    <w:semiHidden/>
    <w:rsid w:val="00A238EE"/>
    <w:pPr>
      <w:spacing w:after="0" w:line="240" w:lineRule="auto"/>
    </w:pPr>
  </w:style>
  <w:style w:type="paragraph" w:customStyle="1" w:styleId="xmsonormal">
    <w:name w:val="x_msonormal"/>
    <w:basedOn w:val="Normal"/>
    <w:rsid w:val="00A238EE"/>
    <w:pPr>
      <w:spacing w:line="240" w:lineRule="auto"/>
    </w:pPr>
    <w:rPr>
      <w:rFonts w:ascii="Calibri" w:hAnsi="Calibri" w:cs="Calibri"/>
      <w:lang w:eastAsia="en-IE"/>
    </w:rPr>
  </w:style>
  <w:style w:type="paragraph" w:customStyle="1" w:styleId="whitespace-pre-wrap">
    <w:name w:val="whitespace-pre-wrap"/>
    <w:basedOn w:val="Normal"/>
    <w:rsid w:val="00A238E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3">
    <w:name w:val="toc 3"/>
    <w:basedOn w:val="Normal"/>
    <w:next w:val="Normal"/>
    <w:autoRedefine/>
    <w:uiPriority w:val="39"/>
    <w:unhideWhenUsed/>
    <w:rsid w:val="00A238EE"/>
    <w:pPr>
      <w:spacing w:after="100"/>
      <w:ind w:left="440"/>
    </w:pPr>
  </w:style>
  <w:style w:type="table" w:customStyle="1" w:styleId="TableGrid1">
    <w:name w:val="Table Grid1"/>
    <w:basedOn w:val="TableNormal"/>
    <w:next w:val="TableGrid"/>
    <w:uiPriority w:val="39"/>
    <w:rsid w:val="00A2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238EE"/>
  </w:style>
  <w:style w:type="character" w:styleId="Emphasis">
    <w:name w:val="Emphasis"/>
    <w:basedOn w:val="DefaultParagraphFont"/>
    <w:uiPriority w:val="20"/>
    <w:qFormat/>
    <w:rsid w:val="00A238EE"/>
    <w:rPr>
      <w:i/>
      <w:iCs/>
    </w:rPr>
  </w:style>
  <w:style w:type="paragraph" w:styleId="BodyText">
    <w:name w:val="Body Text"/>
    <w:basedOn w:val="Normal"/>
    <w:link w:val="BodyTextChar"/>
    <w:semiHidden/>
    <w:rsid w:val="00A238EE"/>
    <w:pPr>
      <w:spacing w:before="120" w:after="120" w:line="240" w:lineRule="auto"/>
      <w:ind w:left="851"/>
    </w:pPr>
    <w:rPr>
      <w:rFonts w:ascii="Tahoma" w:eastAsia="Times" w:hAnsi="Tahoma" w:cs="Times New Roman"/>
      <w:sz w:val="20"/>
      <w:szCs w:val="20"/>
      <w:lang w:val="en-GB"/>
    </w:rPr>
  </w:style>
  <w:style w:type="character" w:customStyle="1" w:styleId="BodyTextChar">
    <w:name w:val="Body Text Char"/>
    <w:basedOn w:val="DefaultParagraphFont"/>
    <w:link w:val="BodyText"/>
    <w:semiHidden/>
    <w:rsid w:val="00A238EE"/>
    <w:rPr>
      <w:rFonts w:ascii="Tahoma" w:eastAsia="Times" w:hAnsi="Tahoma" w:cs="Times New Roman"/>
      <w:sz w:val="20"/>
      <w:szCs w:val="20"/>
      <w:lang w:val="en-GB"/>
    </w:rPr>
  </w:style>
  <w:style w:type="paragraph" w:customStyle="1" w:styleId="sc-byline">
    <w:name w:val="sc-byline"/>
    <w:basedOn w:val="Normal"/>
    <w:rsid w:val="00A238EE"/>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paragraph" w:customStyle="1" w:styleId="jsx-183780751">
    <w:name w:val="jsx-183780751"/>
    <w:basedOn w:val="Normal"/>
    <w:rsid w:val="00A238EE"/>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paragraph" w:customStyle="1" w:styleId="jsx-3617101133">
    <w:name w:val="jsx-3617101133"/>
    <w:basedOn w:val="Normal"/>
    <w:rsid w:val="00A238EE"/>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paragraph" w:customStyle="1" w:styleId="jsx-1614296240">
    <w:name w:val="jsx-1614296240"/>
    <w:basedOn w:val="Normal"/>
    <w:rsid w:val="00A238EE"/>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customStyle="1" w:styleId="uv3um">
    <w:name w:val="uv3um"/>
    <w:basedOn w:val="DefaultParagraphFont"/>
    <w:rsid w:val="00A238EE"/>
  </w:style>
  <w:style w:type="character" w:styleId="UnresolvedMention">
    <w:name w:val="Unresolved Mention"/>
    <w:basedOn w:val="DefaultParagraphFont"/>
    <w:uiPriority w:val="99"/>
    <w:semiHidden/>
    <w:unhideWhenUsed/>
    <w:rsid w:val="00BF4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2870">
      <w:bodyDiv w:val="1"/>
      <w:marLeft w:val="0"/>
      <w:marRight w:val="0"/>
      <w:marTop w:val="0"/>
      <w:marBottom w:val="0"/>
      <w:divBdr>
        <w:top w:val="none" w:sz="0" w:space="0" w:color="auto"/>
        <w:left w:val="none" w:sz="0" w:space="0" w:color="auto"/>
        <w:bottom w:val="none" w:sz="0" w:space="0" w:color="auto"/>
        <w:right w:val="none" w:sz="0" w:space="0" w:color="auto"/>
      </w:divBdr>
    </w:div>
    <w:div w:id="592974445">
      <w:bodyDiv w:val="1"/>
      <w:marLeft w:val="0"/>
      <w:marRight w:val="0"/>
      <w:marTop w:val="0"/>
      <w:marBottom w:val="0"/>
      <w:divBdr>
        <w:top w:val="none" w:sz="0" w:space="0" w:color="auto"/>
        <w:left w:val="none" w:sz="0" w:space="0" w:color="auto"/>
        <w:bottom w:val="none" w:sz="0" w:space="0" w:color="auto"/>
        <w:right w:val="none" w:sz="0" w:space="0" w:color="auto"/>
      </w:divBdr>
    </w:div>
    <w:div w:id="745613951">
      <w:bodyDiv w:val="1"/>
      <w:marLeft w:val="0"/>
      <w:marRight w:val="0"/>
      <w:marTop w:val="0"/>
      <w:marBottom w:val="0"/>
      <w:divBdr>
        <w:top w:val="none" w:sz="0" w:space="0" w:color="auto"/>
        <w:left w:val="none" w:sz="0" w:space="0" w:color="auto"/>
        <w:bottom w:val="none" w:sz="0" w:space="0" w:color="auto"/>
        <w:right w:val="none" w:sz="0" w:space="0" w:color="auto"/>
      </w:divBdr>
    </w:div>
    <w:div w:id="849098488">
      <w:bodyDiv w:val="1"/>
      <w:marLeft w:val="0"/>
      <w:marRight w:val="0"/>
      <w:marTop w:val="0"/>
      <w:marBottom w:val="0"/>
      <w:divBdr>
        <w:top w:val="none" w:sz="0" w:space="0" w:color="auto"/>
        <w:left w:val="none" w:sz="0" w:space="0" w:color="auto"/>
        <w:bottom w:val="none" w:sz="0" w:space="0" w:color="auto"/>
        <w:right w:val="none" w:sz="0" w:space="0" w:color="auto"/>
      </w:divBdr>
    </w:div>
    <w:div w:id="924072013">
      <w:bodyDiv w:val="1"/>
      <w:marLeft w:val="0"/>
      <w:marRight w:val="0"/>
      <w:marTop w:val="0"/>
      <w:marBottom w:val="0"/>
      <w:divBdr>
        <w:top w:val="none" w:sz="0" w:space="0" w:color="auto"/>
        <w:left w:val="none" w:sz="0" w:space="0" w:color="auto"/>
        <w:bottom w:val="none" w:sz="0" w:space="0" w:color="auto"/>
        <w:right w:val="none" w:sz="0" w:space="0" w:color="auto"/>
      </w:divBdr>
    </w:div>
    <w:div w:id="1092163389">
      <w:bodyDiv w:val="1"/>
      <w:marLeft w:val="0"/>
      <w:marRight w:val="0"/>
      <w:marTop w:val="0"/>
      <w:marBottom w:val="0"/>
      <w:divBdr>
        <w:top w:val="none" w:sz="0" w:space="0" w:color="auto"/>
        <w:left w:val="none" w:sz="0" w:space="0" w:color="auto"/>
        <w:bottom w:val="none" w:sz="0" w:space="0" w:color="auto"/>
        <w:right w:val="none" w:sz="0" w:space="0" w:color="auto"/>
      </w:divBdr>
    </w:div>
    <w:div w:id="1323851198">
      <w:bodyDiv w:val="1"/>
      <w:marLeft w:val="0"/>
      <w:marRight w:val="0"/>
      <w:marTop w:val="0"/>
      <w:marBottom w:val="0"/>
      <w:divBdr>
        <w:top w:val="none" w:sz="0" w:space="0" w:color="auto"/>
        <w:left w:val="none" w:sz="0" w:space="0" w:color="auto"/>
        <w:bottom w:val="none" w:sz="0" w:space="0" w:color="auto"/>
        <w:right w:val="none" w:sz="0" w:space="0" w:color="auto"/>
      </w:divBdr>
    </w:div>
    <w:div w:id="1539581665">
      <w:bodyDiv w:val="1"/>
      <w:marLeft w:val="0"/>
      <w:marRight w:val="0"/>
      <w:marTop w:val="0"/>
      <w:marBottom w:val="0"/>
      <w:divBdr>
        <w:top w:val="none" w:sz="0" w:space="0" w:color="auto"/>
        <w:left w:val="none" w:sz="0" w:space="0" w:color="auto"/>
        <w:bottom w:val="none" w:sz="0" w:space="0" w:color="auto"/>
        <w:right w:val="none" w:sz="0" w:space="0" w:color="auto"/>
      </w:divBdr>
    </w:div>
    <w:div w:id="1828399603">
      <w:bodyDiv w:val="1"/>
      <w:marLeft w:val="0"/>
      <w:marRight w:val="0"/>
      <w:marTop w:val="0"/>
      <w:marBottom w:val="0"/>
      <w:divBdr>
        <w:top w:val="none" w:sz="0" w:space="0" w:color="auto"/>
        <w:left w:val="none" w:sz="0" w:space="0" w:color="auto"/>
        <w:bottom w:val="none" w:sz="0" w:space="0" w:color="auto"/>
        <w:right w:val="none" w:sz="0" w:space="0" w:color="auto"/>
      </w:divBdr>
    </w:div>
    <w:div w:id="1906404895">
      <w:bodyDiv w:val="1"/>
      <w:marLeft w:val="0"/>
      <w:marRight w:val="0"/>
      <w:marTop w:val="0"/>
      <w:marBottom w:val="0"/>
      <w:divBdr>
        <w:top w:val="none" w:sz="0" w:space="0" w:color="auto"/>
        <w:left w:val="none" w:sz="0" w:space="0" w:color="auto"/>
        <w:bottom w:val="none" w:sz="0" w:space="0" w:color="auto"/>
        <w:right w:val="none" w:sz="0" w:space="0" w:color="auto"/>
      </w:divBdr>
    </w:div>
    <w:div w:id="21173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cso.ie/en/releasesandpublications/ep/p-ibt/inboundtourismmay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ublineconomy.ie/dublin-economic-monitor/latest-dublin-economic-monitor-shows-the-economy-remained-resolute-in-q4/"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hive.ie" TargetMode="External"/><Relationship Id="rId5" Type="http://schemas.openxmlformats.org/officeDocument/2006/relationships/webSettings" Target="webSettings.xml"/><Relationship Id="rId15" Type="http://schemas.openxmlformats.org/officeDocument/2006/relationships/hyperlink" Target="http://www.dublincity.ie/" TargetMode="Externa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eache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B4097-DDCC-4909-9D4D-44359CDBA725}">
  <ds:schemaRefs>
    <ds:schemaRef ds:uri="http://schemas.openxmlformats.org/officeDocument/2006/bibliography"/>
  </ds:schemaRefs>
</ds:datastoreItem>
</file>

<file path=customXml/itemProps2.xml><?xml version="1.0" encoding="utf-8"?>
<ds:datastoreItem xmlns:ds="http://schemas.openxmlformats.org/officeDocument/2006/customXml" ds:itemID="{C8FD45CA-EC6B-41AC-916C-91296714A633}"/>
</file>

<file path=customXml/itemProps3.xml><?xml version="1.0" encoding="utf-8"?>
<ds:datastoreItem xmlns:ds="http://schemas.openxmlformats.org/officeDocument/2006/customXml" ds:itemID="{EC7A0D27-D514-42AC-810D-4EF60A77B8EA}"/>
</file>

<file path=customXml/itemProps4.xml><?xml version="1.0" encoding="utf-8"?>
<ds:datastoreItem xmlns:ds="http://schemas.openxmlformats.org/officeDocument/2006/customXml" ds:itemID="{F90ABA89-8B2C-48F4-ACB6-A60395597F1A}"/>
</file>

<file path=docProps/app.xml><?xml version="1.0" encoding="utf-8"?>
<Properties xmlns="http://schemas.openxmlformats.org/officeDocument/2006/extended-properties" xmlns:vt="http://schemas.openxmlformats.org/officeDocument/2006/docPropsVTypes">
  <Template>Normal.dotm</Template>
  <TotalTime>2</TotalTime>
  <Pages>22</Pages>
  <Words>5430</Words>
  <Characters>30953</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O'Callaghan</dc:creator>
  <cp:keywords/>
  <dc:description/>
  <cp:lastModifiedBy>Myles Farrell</cp:lastModifiedBy>
  <cp:revision>2</cp:revision>
  <cp:lastPrinted>2025-08-27T13:46:00Z</cp:lastPrinted>
  <dcterms:created xsi:type="dcterms:W3CDTF">2026-01-05T17:36:00Z</dcterms:created>
  <dcterms:modified xsi:type="dcterms:W3CDTF">2026-01-05T17:36:00Z</dcterms:modified>
</cp:coreProperties>
</file>