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E485E2" w14:textId="67E3CCBD" w:rsidR="00C227ED" w:rsidRPr="008A5BA2" w:rsidRDefault="00A111C1" w:rsidP="00A979E7">
      <w:pPr>
        <w:pStyle w:val="FrontCover-Title"/>
        <w:jc w:val="center"/>
        <w:rPr>
          <w:lang w:val="en-IE"/>
        </w:rPr>
      </w:pPr>
      <w:r>
        <w:rPr>
          <w:lang w:val="en-IE"/>
        </w:rPr>
        <w:t>Grow College Green</w:t>
      </w:r>
    </w:p>
    <w:p w14:paraId="2BF127D0" w14:textId="0614B96B" w:rsidR="00C227ED" w:rsidRDefault="00A111C1" w:rsidP="00A979E7">
      <w:pPr>
        <w:pStyle w:val="FrontCover-subtitle"/>
        <w:jc w:val="center"/>
        <w:rPr>
          <w:lang w:val="en-IE"/>
        </w:rPr>
      </w:pPr>
      <w:r>
        <w:rPr>
          <w:lang w:val="en-IE"/>
        </w:rPr>
        <w:t>Pre-planning Stage</w:t>
      </w:r>
    </w:p>
    <w:p w14:paraId="54FBB618" w14:textId="77777777" w:rsidR="00A111C1" w:rsidRDefault="00A111C1" w:rsidP="00A979E7">
      <w:pPr>
        <w:pStyle w:val="FrontCover-subtitle"/>
        <w:jc w:val="center"/>
        <w:rPr>
          <w:lang w:val="en-IE"/>
        </w:rPr>
      </w:pPr>
    </w:p>
    <w:p w14:paraId="3BD65ACD" w14:textId="17224561" w:rsidR="00A111C1" w:rsidRPr="008A5BA2" w:rsidRDefault="00A111C1" w:rsidP="00A979E7">
      <w:pPr>
        <w:pStyle w:val="FrontCover-subtitle"/>
        <w:jc w:val="center"/>
        <w:rPr>
          <w:lang w:val="en-IE"/>
        </w:rPr>
      </w:pPr>
      <w:r>
        <w:rPr>
          <w:lang w:val="en-IE"/>
        </w:rPr>
        <w:t>February 2026</w:t>
      </w:r>
    </w:p>
    <w:p w14:paraId="5D912204" w14:textId="77777777" w:rsidR="00C227ED" w:rsidRPr="008A5BA2" w:rsidRDefault="00C227ED" w:rsidP="007B5928">
      <w:pPr>
        <w:pStyle w:val="BodyText"/>
        <w:rPr>
          <w:lang w:val="en-IE"/>
        </w:rPr>
      </w:pPr>
    </w:p>
    <w:p w14:paraId="6BBEC5B3" w14:textId="77777777" w:rsidR="00D66FA0" w:rsidRPr="008A5BA2" w:rsidRDefault="00D66FA0" w:rsidP="003F42D4">
      <w:pPr>
        <w:pStyle w:val="FrontCover-tableinformation"/>
        <w:tabs>
          <w:tab w:val="clear" w:pos="2820"/>
          <w:tab w:val="left" w:pos="1843"/>
        </w:tabs>
        <w:ind w:left="142" w:firstLine="709"/>
        <w:jc w:val="left"/>
        <w:rPr>
          <w:rFonts w:ascii="Arial" w:hAnsi="Arial"/>
          <w:color w:val="767171" w:themeColor="background2" w:themeShade="80"/>
          <w:lang w:val="en-IE"/>
        </w:rPr>
      </w:pPr>
    </w:p>
    <w:p w14:paraId="4CA3228F" w14:textId="77777777" w:rsidR="00D66FA0" w:rsidRPr="008A5BA2" w:rsidRDefault="00D66FA0" w:rsidP="003F42D4">
      <w:pPr>
        <w:pStyle w:val="FrontCover-tableinformation"/>
        <w:tabs>
          <w:tab w:val="clear" w:pos="2820"/>
          <w:tab w:val="left" w:pos="1843"/>
        </w:tabs>
        <w:ind w:left="142" w:firstLine="709"/>
        <w:jc w:val="left"/>
        <w:rPr>
          <w:rFonts w:asciiTheme="majorHAnsi" w:hAnsiTheme="majorHAnsi" w:cstheme="majorHAnsi"/>
          <w:color w:val="767171" w:themeColor="background2" w:themeShade="80"/>
          <w:lang w:val="en-IE"/>
        </w:rPr>
      </w:pPr>
    </w:p>
    <w:p w14:paraId="16918A21" w14:textId="58BC95ED" w:rsidR="007E6A07" w:rsidRDefault="003F42D4" w:rsidP="003F42D4">
      <w:pPr>
        <w:pStyle w:val="FrontCover-tableinformation"/>
        <w:tabs>
          <w:tab w:val="clear" w:pos="2820"/>
          <w:tab w:val="left" w:pos="1843"/>
        </w:tabs>
        <w:ind w:left="142" w:firstLine="709"/>
        <w:jc w:val="left"/>
        <w:rPr>
          <w:rFonts w:cstheme="majorHAnsi"/>
          <w:lang w:val="en-IE"/>
        </w:rPr>
      </w:pPr>
      <w:r w:rsidRPr="008A5BA2">
        <w:rPr>
          <w:rFonts w:cstheme="majorHAnsi"/>
          <w:color w:val="767171" w:themeColor="background2" w:themeShade="80"/>
          <w:lang w:val="en-IE"/>
        </w:rPr>
        <w:t>Document</w:t>
      </w:r>
      <w:r w:rsidRPr="008A5BA2">
        <w:rPr>
          <w:rFonts w:cstheme="majorHAnsi"/>
          <w:color w:val="767171" w:themeColor="background2" w:themeShade="80"/>
          <w:lang w:val="en-IE"/>
        </w:rPr>
        <w:tab/>
      </w:r>
      <w:r w:rsidRPr="008A5BA2">
        <w:rPr>
          <w:rFonts w:cstheme="majorHAnsi"/>
          <w:color w:val="767171" w:themeColor="background2" w:themeShade="80"/>
          <w:lang w:val="en-IE"/>
        </w:rPr>
        <w:tab/>
      </w:r>
      <w:r w:rsidR="007B32C1" w:rsidRPr="0095233B">
        <w:rPr>
          <w:rFonts w:cstheme="majorHAnsi"/>
          <w:lang w:val="en-IE"/>
        </w:rPr>
        <w:t xml:space="preserve">Accessible </w:t>
      </w:r>
      <w:r w:rsidR="007E6A07">
        <w:rPr>
          <w:rFonts w:cstheme="majorHAnsi"/>
          <w:lang w:val="en-IE"/>
        </w:rPr>
        <w:t>Plan</w:t>
      </w:r>
      <w:r w:rsidR="00BE4118">
        <w:rPr>
          <w:rFonts w:cstheme="majorHAnsi"/>
          <w:lang w:val="en-IE"/>
        </w:rPr>
        <w:t>,</w:t>
      </w:r>
      <w:r w:rsidR="007E6A07">
        <w:rPr>
          <w:rFonts w:cstheme="majorHAnsi"/>
          <w:lang w:val="en-IE"/>
        </w:rPr>
        <w:t xml:space="preserve"> Access Arrangement Diagrams, </w:t>
      </w:r>
    </w:p>
    <w:p w14:paraId="799A723C" w14:textId="0FB8E97E" w:rsidR="003F42D4" w:rsidRPr="0095233B" w:rsidRDefault="007E6A07" w:rsidP="003F42D4">
      <w:pPr>
        <w:pStyle w:val="FrontCover-tableinformation"/>
        <w:tabs>
          <w:tab w:val="clear" w:pos="2820"/>
          <w:tab w:val="left" w:pos="1843"/>
        </w:tabs>
        <w:ind w:left="142" w:firstLine="709"/>
        <w:jc w:val="left"/>
        <w:rPr>
          <w:rFonts w:cstheme="majorHAnsi"/>
          <w:lang w:val="en-IE"/>
        </w:rPr>
      </w:pPr>
      <w:r>
        <w:rPr>
          <w:rFonts w:cstheme="majorHAnsi"/>
          <w:lang w:val="en-IE"/>
        </w:rPr>
        <w:tab/>
      </w:r>
      <w:r>
        <w:rPr>
          <w:rFonts w:cstheme="majorHAnsi"/>
          <w:lang w:val="en-IE"/>
        </w:rPr>
        <w:tab/>
      </w:r>
      <w:r>
        <w:rPr>
          <w:rFonts w:cstheme="majorHAnsi"/>
          <w:lang w:val="en-IE"/>
        </w:rPr>
        <w:tab/>
        <w:t xml:space="preserve">Cross Section and </w:t>
      </w:r>
      <w:r w:rsidR="00BE4118">
        <w:rPr>
          <w:rFonts w:cstheme="majorHAnsi"/>
          <w:lang w:val="en-IE"/>
        </w:rPr>
        <w:t>Visuals</w:t>
      </w:r>
    </w:p>
    <w:p w14:paraId="351D4DDA" w14:textId="6CA863B8" w:rsidR="003F42D4" w:rsidRPr="008A5BA2" w:rsidRDefault="003F42D4" w:rsidP="003F42D4">
      <w:pPr>
        <w:pStyle w:val="FrontCover-tableinformation"/>
        <w:tabs>
          <w:tab w:val="clear" w:pos="2820"/>
          <w:tab w:val="left" w:pos="1843"/>
        </w:tabs>
        <w:ind w:left="142" w:firstLine="709"/>
        <w:jc w:val="left"/>
        <w:rPr>
          <w:rFonts w:cstheme="majorHAnsi"/>
          <w:lang w:val="en-IE"/>
        </w:rPr>
      </w:pPr>
      <w:r w:rsidRPr="008A5BA2">
        <w:rPr>
          <w:rFonts w:cstheme="majorHAnsi"/>
          <w:color w:val="767171" w:themeColor="background2" w:themeShade="80"/>
          <w:lang w:val="en-IE"/>
        </w:rPr>
        <w:t>Prepared by</w:t>
      </w:r>
      <w:r w:rsidR="009B1ABA" w:rsidRPr="008A5BA2">
        <w:rPr>
          <w:rFonts w:cstheme="majorHAnsi"/>
          <w:color w:val="767171" w:themeColor="background2" w:themeShade="80"/>
          <w:lang w:val="en-IE"/>
        </w:rPr>
        <w:tab/>
      </w:r>
      <w:r w:rsidR="007B32C1" w:rsidRPr="008A5BA2">
        <w:rPr>
          <w:rFonts w:cstheme="majorHAnsi"/>
          <w:color w:val="000000" w:themeColor="text1"/>
          <w:lang w:val="en-IE"/>
        </w:rPr>
        <w:t>OKRA</w:t>
      </w:r>
      <w:r w:rsidRPr="008A5BA2">
        <w:rPr>
          <w:rFonts w:cstheme="majorHAnsi"/>
          <w:color w:val="000000" w:themeColor="text1"/>
          <w:lang w:val="en-IE"/>
        </w:rPr>
        <w:t xml:space="preserve"> / </w:t>
      </w:r>
      <w:r w:rsidRPr="008A5BA2">
        <w:rPr>
          <w:rFonts w:cstheme="majorHAnsi"/>
          <w:lang w:val="en-IE"/>
        </w:rPr>
        <w:t>Scott Tallon Walker Architects</w:t>
      </w:r>
    </w:p>
    <w:p w14:paraId="3FFD690E" w14:textId="12CE3583" w:rsidR="00C227ED" w:rsidRPr="00A111C1" w:rsidRDefault="003F42D4" w:rsidP="00A111C1">
      <w:pPr>
        <w:tabs>
          <w:tab w:val="left" w:pos="1843"/>
        </w:tabs>
        <w:ind w:left="142" w:firstLine="709"/>
        <w:rPr>
          <w:rFonts w:cstheme="majorHAnsi"/>
          <w:sz w:val="28"/>
          <w:szCs w:val="28"/>
          <w:lang w:val="en-IE"/>
        </w:rPr>
      </w:pPr>
      <w:r w:rsidRPr="008A5BA2">
        <w:rPr>
          <w:rFonts w:cstheme="majorHAnsi"/>
          <w:color w:val="767171" w:themeColor="background2" w:themeShade="80"/>
          <w:sz w:val="28"/>
          <w:szCs w:val="28"/>
          <w:lang w:val="en-IE"/>
        </w:rPr>
        <w:t>Issue date</w:t>
      </w:r>
      <w:r w:rsidR="009B1ABA" w:rsidRPr="008A5BA2">
        <w:rPr>
          <w:rFonts w:cstheme="majorHAnsi"/>
          <w:color w:val="767171" w:themeColor="background2" w:themeShade="80"/>
          <w:sz w:val="28"/>
          <w:szCs w:val="28"/>
          <w:lang w:val="en-IE"/>
        </w:rPr>
        <w:tab/>
      </w:r>
      <w:r w:rsidR="009B1ABA" w:rsidRPr="008A5BA2">
        <w:rPr>
          <w:rFonts w:cstheme="majorHAnsi"/>
          <w:color w:val="767171" w:themeColor="background2" w:themeShade="80"/>
          <w:sz w:val="28"/>
          <w:szCs w:val="28"/>
          <w:lang w:val="en-IE"/>
        </w:rPr>
        <w:tab/>
      </w:r>
      <w:r w:rsidR="00A111C1">
        <w:rPr>
          <w:rFonts w:cstheme="majorHAnsi"/>
          <w:color w:val="000000" w:themeColor="text1"/>
          <w:sz w:val="28"/>
          <w:szCs w:val="28"/>
          <w:lang w:val="en-IE"/>
        </w:rPr>
        <w:t>10</w:t>
      </w:r>
      <w:r w:rsidRPr="008A5BA2">
        <w:rPr>
          <w:rFonts w:cstheme="majorHAnsi"/>
          <w:color w:val="000000" w:themeColor="text1"/>
          <w:sz w:val="28"/>
          <w:szCs w:val="28"/>
          <w:lang w:val="en-IE"/>
        </w:rPr>
        <w:t>.0</w:t>
      </w:r>
      <w:r w:rsidR="0095233B">
        <w:rPr>
          <w:rFonts w:cstheme="majorHAnsi"/>
          <w:color w:val="000000" w:themeColor="text1"/>
          <w:sz w:val="28"/>
          <w:szCs w:val="28"/>
          <w:lang w:val="en-IE"/>
        </w:rPr>
        <w:t>2</w:t>
      </w:r>
      <w:r w:rsidRPr="008A5BA2">
        <w:rPr>
          <w:rFonts w:cstheme="majorHAnsi"/>
          <w:color w:val="000000" w:themeColor="text1"/>
          <w:sz w:val="28"/>
          <w:szCs w:val="28"/>
          <w:lang w:val="en-IE"/>
        </w:rPr>
        <w:t>.202</w:t>
      </w:r>
      <w:r w:rsidR="008E4216">
        <w:rPr>
          <w:rFonts w:cstheme="majorHAnsi"/>
          <w:color w:val="000000" w:themeColor="text1"/>
          <w:sz w:val="28"/>
          <w:szCs w:val="28"/>
          <w:lang w:val="en-IE"/>
        </w:rPr>
        <w:t>6</w:t>
      </w:r>
    </w:p>
    <w:p w14:paraId="516303A6" w14:textId="2A7634F4" w:rsidR="00C227ED" w:rsidRPr="008A5BA2" w:rsidRDefault="00C227ED" w:rsidP="007B5928">
      <w:pPr>
        <w:rPr>
          <w:lang w:val="en-IE"/>
        </w:rPr>
      </w:pPr>
    </w:p>
    <w:p w14:paraId="52341DA0" w14:textId="73B860DE" w:rsidR="00C227ED" w:rsidRPr="008A5BA2" w:rsidRDefault="00C227ED" w:rsidP="007B5928">
      <w:pPr>
        <w:rPr>
          <w:lang w:val="en-IE"/>
        </w:rPr>
      </w:pPr>
    </w:p>
    <w:p w14:paraId="166BFF14" w14:textId="77A0007A" w:rsidR="00C227ED" w:rsidRPr="008A5BA2" w:rsidRDefault="00C227ED" w:rsidP="007B5928">
      <w:pPr>
        <w:rPr>
          <w:lang w:val="en-IE"/>
        </w:rPr>
      </w:pPr>
    </w:p>
    <w:p w14:paraId="5BA7A813" w14:textId="79C3E694" w:rsidR="00C227ED" w:rsidRPr="008A5BA2" w:rsidRDefault="00C227ED" w:rsidP="007B5928">
      <w:pPr>
        <w:rPr>
          <w:lang w:val="en-IE"/>
        </w:rPr>
      </w:pPr>
    </w:p>
    <w:p w14:paraId="59D71DFD" w14:textId="704B6D83" w:rsidR="00C227ED" w:rsidRPr="008A5BA2" w:rsidRDefault="00C227ED" w:rsidP="007B5928">
      <w:pPr>
        <w:rPr>
          <w:lang w:val="en-IE"/>
        </w:rPr>
      </w:pPr>
    </w:p>
    <w:p w14:paraId="03372F4A" w14:textId="16C5AF9B" w:rsidR="00C227ED" w:rsidRPr="008A5BA2" w:rsidRDefault="00C227ED" w:rsidP="007B5928">
      <w:pPr>
        <w:rPr>
          <w:lang w:val="en-IE"/>
        </w:rPr>
      </w:pPr>
    </w:p>
    <w:p w14:paraId="4D2CC1D7" w14:textId="298A95A6" w:rsidR="00C227ED" w:rsidRPr="008A5BA2" w:rsidRDefault="00C227ED" w:rsidP="007B5928">
      <w:pPr>
        <w:rPr>
          <w:lang w:val="en-IE"/>
        </w:rPr>
      </w:pPr>
    </w:p>
    <w:p w14:paraId="4E6BB7EE" w14:textId="77777777" w:rsidR="00C227ED" w:rsidRPr="008A5BA2" w:rsidRDefault="00C227ED" w:rsidP="007B5928">
      <w:pPr>
        <w:rPr>
          <w:lang w:val="en-IE"/>
        </w:rPr>
      </w:pPr>
    </w:p>
    <w:p w14:paraId="4F09D526" w14:textId="77777777" w:rsidR="00C227ED" w:rsidRPr="008A5BA2" w:rsidRDefault="00C227ED" w:rsidP="007B5928">
      <w:pPr>
        <w:rPr>
          <w:lang w:val="en-IE"/>
        </w:rPr>
      </w:pPr>
    </w:p>
    <w:p w14:paraId="6BA5DCD2" w14:textId="77777777" w:rsidR="00C227ED" w:rsidRPr="008A5BA2" w:rsidRDefault="00C227ED" w:rsidP="007B5928">
      <w:pPr>
        <w:rPr>
          <w:lang w:val="en-IE"/>
        </w:rPr>
      </w:pPr>
    </w:p>
    <w:p w14:paraId="2E7861A5" w14:textId="77777777" w:rsidR="00C227ED" w:rsidRPr="008A5BA2" w:rsidRDefault="00C227ED" w:rsidP="007B5928">
      <w:pPr>
        <w:rPr>
          <w:lang w:val="en-IE"/>
        </w:rPr>
      </w:pPr>
    </w:p>
    <w:p w14:paraId="4603C2FE" w14:textId="77777777" w:rsidR="00C227ED" w:rsidRPr="008A5BA2" w:rsidRDefault="00C227ED" w:rsidP="007B5928">
      <w:pPr>
        <w:rPr>
          <w:lang w:val="en-IE"/>
        </w:rPr>
      </w:pPr>
    </w:p>
    <w:p w14:paraId="098A91ED" w14:textId="0A5C67DB" w:rsidR="00C227ED" w:rsidRPr="008A5BA2" w:rsidRDefault="00C227ED" w:rsidP="007B5928">
      <w:pPr>
        <w:rPr>
          <w:lang w:val="en-IE"/>
        </w:rPr>
      </w:pPr>
    </w:p>
    <w:p w14:paraId="7812C3F6" w14:textId="77777777" w:rsidR="00C227ED" w:rsidRPr="008A5BA2" w:rsidRDefault="00C227ED" w:rsidP="007B5928">
      <w:pPr>
        <w:rPr>
          <w:lang w:val="en-IE"/>
        </w:rPr>
      </w:pPr>
    </w:p>
    <w:p w14:paraId="7FBA827A" w14:textId="77777777" w:rsidR="00C227ED" w:rsidRPr="008A5BA2" w:rsidRDefault="00C227ED" w:rsidP="007B5928">
      <w:pPr>
        <w:rPr>
          <w:lang w:val="en-IE"/>
        </w:rPr>
      </w:pPr>
    </w:p>
    <w:p w14:paraId="123C6715" w14:textId="77777777" w:rsidR="00C227ED" w:rsidRPr="008A5BA2" w:rsidRDefault="00C227ED" w:rsidP="007B5928">
      <w:pPr>
        <w:rPr>
          <w:lang w:val="en-IE"/>
        </w:rPr>
      </w:pPr>
    </w:p>
    <w:p w14:paraId="0C1BF603" w14:textId="77777777" w:rsidR="00C227ED" w:rsidRPr="008A5BA2" w:rsidRDefault="00C227ED" w:rsidP="007B5928">
      <w:pPr>
        <w:rPr>
          <w:lang w:val="en-IE"/>
        </w:rPr>
      </w:pPr>
    </w:p>
    <w:p w14:paraId="11ACB109" w14:textId="77777777" w:rsidR="00C227ED" w:rsidRPr="008A5BA2" w:rsidRDefault="00C227ED" w:rsidP="007B5928">
      <w:pPr>
        <w:rPr>
          <w:lang w:val="en-IE"/>
        </w:rPr>
      </w:pPr>
    </w:p>
    <w:p w14:paraId="726CB046" w14:textId="77777777" w:rsidR="00C227ED" w:rsidRPr="008A5BA2" w:rsidRDefault="00C227ED" w:rsidP="007B5928">
      <w:pPr>
        <w:rPr>
          <w:lang w:val="en-IE"/>
        </w:rPr>
      </w:pPr>
    </w:p>
    <w:p w14:paraId="517C7476" w14:textId="77777777" w:rsidR="00C227ED" w:rsidRPr="008A5BA2" w:rsidRDefault="00C227ED" w:rsidP="007B5928">
      <w:pPr>
        <w:rPr>
          <w:lang w:val="en-IE"/>
        </w:rPr>
      </w:pPr>
    </w:p>
    <w:p w14:paraId="67377D00" w14:textId="77777777" w:rsidR="00C227ED" w:rsidRPr="008A5BA2" w:rsidRDefault="00C227ED" w:rsidP="007B5928">
      <w:pPr>
        <w:rPr>
          <w:lang w:val="en-IE"/>
        </w:rPr>
      </w:pPr>
    </w:p>
    <w:p w14:paraId="1DE4CCE4" w14:textId="77777777" w:rsidR="00C227ED" w:rsidRPr="008A5BA2" w:rsidRDefault="00C227ED" w:rsidP="007B5928">
      <w:pPr>
        <w:rPr>
          <w:lang w:val="en-IE"/>
        </w:rPr>
      </w:pPr>
    </w:p>
    <w:p w14:paraId="072DF5B1" w14:textId="77777777" w:rsidR="00C227ED" w:rsidRPr="008A5BA2" w:rsidRDefault="00C227ED" w:rsidP="007B5928">
      <w:pPr>
        <w:rPr>
          <w:lang w:val="en-IE"/>
        </w:rPr>
      </w:pPr>
    </w:p>
    <w:p w14:paraId="290FDC5C" w14:textId="77777777" w:rsidR="00C227ED" w:rsidRPr="008A5BA2" w:rsidRDefault="00C227ED" w:rsidP="007B5928">
      <w:pPr>
        <w:rPr>
          <w:lang w:val="en-IE"/>
        </w:rPr>
      </w:pPr>
    </w:p>
    <w:p w14:paraId="7D37E1A2" w14:textId="77777777" w:rsidR="00C227ED" w:rsidRPr="008A5BA2" w:rsidRDefault="00C227ED" w:rsidP="007B5928">
      <w:pPr>
        <w:rPr>
          <w:lang w:val="en-IE"/>
        </w:rPr>
      </w:pPr>
    </w:p>
    <w:p w14:paraId="6E0142C8" w14:textId="77777777" w:rsidR="00C227ED" w:rsidRPr="008A5BA2" w:rsidRDefault="00C227ED" w:rsidP="007B5928">
      <w:pPr>
        <w:rPr>
          <w:lang w:val="en-IE"/>
        </w:rPr>
      </w:pPr>
    </w:p>
    <w:p w14:paraId="65819165" w14:textId="77777777" w:rsidR="00C227ED" w:rsidRPr="008A5BA2" w:rsidRDefault="00C227ED" w:rsidP="007B5928">
      <w:pPr>
        <w:rPr>
          <w:lang w:val="en-IE"/>
        </w:rPr>
      </w:pPr>
    </w:p>
    <w:p w14:paraId="266A2D59" w14:textId="77777777" w:rsidR="00C227ED" w:rsidRPr="008A5BA2" w:rsidRDefault="00C227ED" w:rsidP="007B5928">
      <w:pPr>
        <w:rPr>
          <w:lang w:val="en-IE"/>
        </w:rPr>
      </w:pPr>
    </w:p>
    <w:p w14:paraId="70F7CC15" w14:textId="77777777" w:rsidR="00C227ED" w:rsidRPr="008A5BA2" w:rsidRDefault="00C227ED" w:rsidP="007B5928">
      <w:pPr>
        <w:rPr>
          <w:lang w:val="en-IE"/>
        </w:rPr>
      </w:pPr>
    </w:p>
    <w:p w14:paraId="2DC7794C" w14:textId="77777777" w:rsidR="00C227ED" w:rsidRPr="008A5BA2" w:rsidRDefault="00C227ED" w:rsidP="007B5928">
      <w:pPr>
        <w:rPr>
          <w:lang w:val="en-IE"/>
        </w:rPr>
      </w:pPr>
    </w:p>
    <w:p w14:paraId="06A2D1D6" w14:textId="77777777" w:rsidR="00C227ED" w:rsidRPr="008A5BA2" w:rsidRDefault="00C227ED" w:rsidP="007B5928">
      <w:pPr>
        <w:rPr>
          <w:lang w:val="en-IE"/>
        </w:rPr>
      </w:pPr>
    </w:p>
    <w:p w14:paraId="782A267B" w14:textId="77777777" w:rsidR="00C227ED" w:rsidRPr="008A5BA2" w:rsidRDefault="00C227ED" w:rsidP="007B5928">
      <w:pPr>
        <w:rPr>
          <w:lang w:val="en-IE"/>
        </w:rPr>
      </w:pPr>
    </w:p>
    <w:p w14:paraId="4C0EBA5C" w14:textId="77777777" w:rsidR="00C227ED" w:rsidRPr="008A5BA2" w:rsidRDefault="00C227ED" w:rsidP="007B5928">
      <w:pPr>
        <w:rPr>
          <w:lang w:val="en-IE"/>
        </w:rPr>
        <w:sectPr w:rsidR="00C227ED" w:rsidRPr="008A5BA2" w:rsidSect="00C227ED">
          <w:pgSz w:w="11906" w:h="16838"/>
          <w:pgMar w:top="919" w:right="459" w:bottom="720" w:left="459" w:header="709" w:footer="709" w:gutter="0"/>
          <w:cols w:space="708"/>
          <w:docGrid w:linePitch="360"/>
        </w:sectPr>
      </w:pPr>
    </w:p>
    <w:p w14:paraId="37265972" w14:textId="1440C163" w:rsidR="00AD0EA6" w:rsidRPr="008A5BA2" w:rsidRDefault="00AD0EA6" w:rsidP="003F42D4">
      <w:pPr>
        <w:pStyle w:val="InsideCover-Heading"/>
        <w:rPr>
          <w:color w:val="auto"/>
          <w:lang w:val="en-IE"/>
        </w:rPr>
      </w:pPr>
      <w:r w:rsidRPr="008A5BA2">
        <w:rPr>
          <w:color w:val="auto"/>
          <w:lang w:val="en-IE"/>
        </w:rPr>
        <w:lastRenderedPageBreak/>
        <w:t>Page 2</w:t>
      </w:r>
    </w:p>
    <w:p w14:paraId="23150AA2" w14:textId="35090C37" w:rsidR="003F42D4" w:rsidRPr="008A5BA2" w:rsidRDefault="003F42D4" w:rsidP="003F42D4">
      <w:pPr>
        <w:pStyle w:val="InsideCover-Heading"/>
        <w:rPr>
          <w:lang w:val="en-IE"/>
        </w:rPr>
      </w:pPr>
      <w:r w:rsidRPr="008A5BA2">
        <w:rPr>
          <w:lang w:val="en-IE"/>
        </w:rPr>
        <w:t>Document</w:t>
      </w:r>
    </w:p>
    <w:p w14:paraId="4A90AA7E" w14:textId="77777777" w:rsidR="00D66FA0" w:rsidRPr="008A5BA2" w:rsidRDefault="00D66FA0" w:rsidP="003F42D4">
      <w:pPr>
        <w:pStyle w:val="InsideCover-Heading"/>
        <w:rPr>
          <w:lang w:val="en-IE"/>
        </w:rPr>
      </w:pPr>
    </w:p>
    <w:p w14:paraId="69FFDD30" w14:textId="77777777" w:rsidR="008641C6" w:rsidRPr="008A5BA2" w:rsidRDefault="008641C6" w:rsidP="003F42D4">
      <w:pPr>
        <w:pStyle w:val="InsideCover-Heading"/>
        <w:rPr>
          <w:lang w:val="en-IE"/>
        </w:rPr>
      </w:pPr>
    </w:p>
    <w:p w14:paraId="106EB2CB" w14:textId="46F25EAF" w:rsidR="003F42D4" w:rsidRPr="008A5BA2" w:rsidRDefault="003F42D4" w:rsidP="003F42D4">
      <w:pPr>
        <w:pStyle w:val="InsideCover-Tableinformation"/>
        <w:tabs>
          <w:tab w:val="clear" w:pos="2820"/>
          <w:tab w:val="left" w:pos="3271"/>
        </w:tabs>
        <w:ind w:left="134" w:firstLine="8"/>
        <w:jc w:val="left"/>
        <w:rPr>
          <w:sz w:val="24"/>
          <w:szCs w:val="24"/>
          <w:lang w:val="en-IE"/>
        </w:rPr>
      </w:pPr>
      <w:r w:rsidRPr="008A5BA2">
        <w:rPr>
          <w:sz w:val="24"/>
          <w:szCs w:val="24"/>
          <w:lang w:val="en-IE"/>
        </w:rPr>
        <w:t>Project Title</w:t>
      </w:r>
      <w:r w:rsidR="009B1ABA" w:rsidRPr="008A5BA2">
        <w:rPr>
          <w:color w:val="FFFFFF" w:themeColor="background1"/>
          <w:sz w:val="24"/>
          <w:szCs w:val="24"/>
          <w:lang w:val="en-IE"/>
        </w:rPr>
        <w:tab/>
      </w:r>
      <w:r w:rsidR="008E4216">
        <w:rPr>
          <w:sz w:val="24"/>
          <w:szCs w:val="24"/>
          <w:lang w:val="en-IE"/>
        </w:rPr>
        <w:t>Grow College Green</w:t>
      </w:r>
    </w:p>
    <w:p w14:paraId="34C6FC0A" w14:textId="3C3EF8CC" w:rsidR="007E6A07" w:rsidRPr="007E6A07" w:rsidRDefault="003F42D4" w:rsidP="007E6A07">
      <w:pPr>
        <w:pStyle w:val="InsideCover-Tableinformation"/>
        <w:tabs>
          <w:tab w:val="clear" w:pos="2820"/>
          <w:tab w:val="left" w:pos="3271"/>
        </w:tabs>
        <w:ind w:left="134" w:firstLine="8"/>
        <w:jc w:val="left"/>
        <w:rPr>
          <w:sz w:val="24"/>
          <w:szCs w:val="24"/>
          <w:lang w:val="en-IE"/>
        </w:rPr>
      </w:pPr>
      <w:r w:rsidRPr="008A5BA2">
        <w:rPr>
          <w:sz w:val="24"/>
          <w:szCs w:val="24"/>
          <w:lang w:val="en-IE"/>
        </w:rPr>
        <w:t>Document Title</w:t>
      </w:r>
      <w:r w:rsidR="009B1ABA" w:rsidRPr="008A5BA2">
        <w:rPr>
          <w:sz w:val="24"/>
          <w:szCs w:val="24"/>
          <w:lang w:val="en-IE"/>
        </w:rPr>
        <w:tab/>
      </w:r>
      <w:r w:rsidR="00BE4118" w:rsidRPr="00BE4118">
        <w:rPr>
          <w:sz w:val="24"/>
          <w:szCs w:val="24"/>
          <w:lang w:val="en-IE"/>
        </w:rPr>
        <w:t xml:space="preserve">Accessible </w:t>
      </w:r>
      <w:r w:rsidR="007E6A07" w:rsidRPr="007E6A07">
        <w:rPr>
          <w:sz w:val="24"/>
          <w:szCs w:val="24"/>
          <w:lang w:val="en-IE"/>
        </w:rPr>
        <w:t xml:space="preserve">Plan, Access Arrangement Diagrams, </w:t>
      </w:r>
    </w:p>
    <w:p w14:paraId="50BFE792" w14:textId="3AE99AE9" w:rsidR="007E6A07" w:rsidRPr="007E6A07" w:rsidRDefault="007E6A07" w:rsidP="007E6A07">
      <w:pPr>
        <w:pStyle w:val="InsideCover-Tableinformation"/>
        <w:tabs>
          <w:tab w:val="clear" w:pos="2820"/>
          <w:tab w:val="left" w:pos="3271"/>
        </w:tabs>
        <w:ind w:left="134" w:firstLine="8"/>
        <w:jc w:val="left"/>
        <w:rPr>
          <w:sz w:val="24"/>
          <w:szCs w:val="24"/>
          <w:lang w:val="en-IE"/>
        </w:rPr>
      </w:pPr>
      <w:r w:rsidRPr="007E6A07">
        <w:rPr>
          <w:sz w:val="24"/>
          <w:szCs w:val="24"/>
          <w:lang w:val="en-IE"/>
        </w:rPr>
        <w:tab/>
        <w:t>Cross Section and Visuals</w:t>
      </w:r>
    </w:p>
    <w:p w14:paraId="01CDE05F" w14:textId="6D23A101" w:rsidR="003F42D4" w:rsidRPr="008A5BA2" w:rsidRDefault="003F42D4" w:rsidP="009B1ABA">
      <w:pPr>
        <w:pStyle w:val="InsideCover-Tableinformation"/>
        <w:tabs>
          <w:tab w:val="clear" w:pos="2820"/>
          <w:tab w:val="left" w:pos="3271"/>
        </w:tabs>
        <w:ind w:left="134" w:firstLine="8"/>
        <w:jc w:val="left"/>
        <w:rPr>
          <w:sz w:val="24"/>
          <w:szCs w:val="24"/>
          <w:lang w:val="en-IE"/>
        </w:rPr>
      </w:pPr>
    </w:p>
    <w:p w14:paraId="79B2FE97" w14:textId="52C01DF1" w:rsidR="003F42D4" w:rsidRPr="008A5BA2" w:rsidRDefault="003F42D4" w:rsidP="003F42D4">
      <w:pPr>
        <w:pStyle w:val="InsideCover-Tableinformation"/>
        <w:tabs>
          <w:tab w:val="clear" w:pos="2820"/>
          <w:tab w:val="left" w:pos="3271"/>
        </w:tabs>
        <w:ind w:left="134" w:firstLine="8"/>
        <w:jc w:val="left"/>
        <w:rPr>
          <w:sz w:val="24"/>
          <w:szCs w:val="24"/>
          <w:lang w:val="en-IE"/>
        </w:rPr>
      </w:pPr>
      <w:r w:rsidRPr="008A5BA2">
        <w:rPr>
          <w:sz w:val="24"/>
          <w:szCs w:val="24"/>
          <w:lang w:val="en-IE"/>
        </w:rPr>
        <w:t>Document Reference</w:t>
      </w:r>
      <w:r w:rsidRPr="008A5BA2">
        <w:rPr>
          <w:color w:val="FFFFFF" w:themeColor="background1"/>
          <w:sz w:val="24"/>
          <w:szCs w:val="24"/>
          <w:lang w:val="en-IE"/>
        </w:rPr>
        <w:tab/>
      </w:r>
      <w:r w:rsidRPr="008A5BA2">
        <w:rPr>
          <w:sz w:val="24"/>
          <w:szCs w:val="24"/>
          <w:lang w:val="en-IE"/>
        </w:rPr>
        <w:t>CGDS-</w:t>
      </w:r>
      <w:r w:rsidR="008E4216">
        <w:rPr>
          <w:sz w:val="24"/>
          <w:szCs w:val="24"/>
          <w:lang w:val="en-IE"/>
        </w:rPr>
        <w:t>XX-</w:t>
      </w:r>
      <w:r w:rsidRPr="008A5BA2">
        <w:rPr>
          <w:sz w:val="24"/>
          <w:szCs w:val="24"/>
          <w:lang w:val="en-IE"/>
        </w:rPr>
        <w:t>XX-RP-</w:t>
      </w:r>
      <w:r w:rsidR="007B32C1" w:rsidRPr="008A5BA2">
        <w:rPr>
          <w:sz w:val="24"/>
          <w:szCs w:val="24"/>
          <w:lang w:val="en-IE"/>
        </w:rPr>
        <w:t>STW</w:t>
      </w:r>
      <w:r w:rsidRPr="008A5BA2">
        <w:rPr>
          <w:sz w:val="24"/>
          <w:szCs w:val="24"/>
          <w:lang w:val="en-IE"/>
        </w:rPr>
        <w:t>-</w:t>
      </w:r>
      <w:r w:rsidR="007B32C1" w:rsidRPr="008A5BA2">
        <w:rPr>
          <w:sz w:val="24"/>
          <w:szCs w:val="24"/>
          <w:lang w:val="en-IE"/>
        </w:rPr>
        <w:t>A</w:t>
      </w:r>
      <w:r w:rsidR="00FA4AD6" w:rsidRPr="008A5BA2">
        <w:rPr>
          <w:sz w:val="24"/>
          <w:szCs w:val="24"/>
          <w:lang w:val="en-IE"/>
        </w:rPr>
        <w:t>R</w:t>
      </w:r>
      <w:r w:rsidRPr="008A5BA2">
        <w:rPr>
          <w:sz w:val="24"/>
          <w:szCs w:val="24"/>
          <w:lang w:val="en-IE"/>
        </w:rPr>
        <w:t>-0000</w:t>
      </w:r>
      <w:r w:rsidR="008E4216">
        <w:rPr>
          <w:sz w:val="24"/>
          <w:szCs w:val="24"/>
          <w:lang w:val="en-IE"/>
        </w:rPr>
        <w:t>1</w:t>
      </w:r>
      <w:r w:rsidR="00BE4118">
        <w:rPr>
          <w:sz w:val="24"/>
          <w:szCs w:val="24"/>
          <w:lang w:val="en-IE"/>
        </w:rPr>
        <w:t>3</w:t>
      </w:r>
    </w:p>
    <w:p w14:paraId="62D5B1B1" w14:textId="77777777" w:rsidR="00D66FA0" w:rsidRPr="008A5BA2" w:rsidRDefault="00D66FA0" w:rsidP="003F42D4">
      <w:pPr>
        <w:pStyle w:val="InsideCover-Tableinformation"/>
        <w:tabs>
          <w:tab w:val="clear" w:pos="2820"/>
          <w:tab w:val="left" w:pos="3271"/>
        </w:tabs>
        <w:ind w:left="134" w:firstLine="8"/>
        <w:jc w:val="left"/>
        <w:rPr>
          <w:sz w:val="24"/>
          <w:szCs w:val="24"/>
          <w:lang w:val="en-IE"/>
        </w:rPr>
      </w:pPr>
    </w:p>
    <w:p w14:paraId="0EAE96DC" w14:textId="222078E2" w:rsidR="00D66FA0" w:rsidRPr="008A5BA2" w:rsidRDefault="00D66FA0" w:rsidP="009B1ABA">
      <w:pPr>
        <w:pStyle w:val="InsideCover-tablesection"/>
        <w:tabs>
          <w:tab w:val="clear" w:pos="2820"/>
          <w:tab w:val="left" w:pos="1725"/>
          <w:tab w:val="left" w:pos="3235"/>
          <w:tab w:val="left" w:pos="4758"/>
          <w:tab w:val="left" w:pos="6282"/>
          <w:tab w:val="left" w:pos="7806"/>
          <w:tab w:val="left" w:pos="9330"/>
        </w:tabs>
        <w:ind w:left="481"/>
        <w:jc w:val="left"/>
        <w:rPr>
          <w:color w:val="000000" w:themeColor="text1"/>
          <w:sz w:val="24"/>
          <w:szCs w:val="24"/>
          <w:lang w:val="en-IE"/>
        </w:rPr>
      </w:pPr>
      <w:r w:rsidRPr="008A5BA2">
        <w:rPr>
          <w:color w:val="000000" w:themeColor="text1"/>
          <w:sz w:val="24"/>
          <w:szCs w:val="24"/>
          <w:lang w:val="en-IE"/>
        </w:rPr>
        <w:t>Rev</w:t>
      </w:r>
      <w:r w:rsidR="009B1ABA" w:rsidRPr="008A5BA2">
        <w:rPr>
          <w:color w:val="000000" w:themeColor="text1"/>
          <w:sz w:val="24"/>
          <w:szCs w:val="24"/>
          <w:lang w:val="en-IE"/>
        </w:rPr>
        <w:tab/>
      </w:r>
      <w:r w:rsidR="009B1ABA" w:rsidRPr="008A5BA2">
        <w:rPr>
          <w:color w:val="000000" w:themeColor="text1"/>
          <w:sz w:val="24"/>
          <w:szCs w:val="24"/>
          <w:lang w:val="en-IE"/>
        </w:rPr>
        <w:tab/>
      </w:r>
      <w:r w:rsidR="007B32C1" w:rsidRPr="008A5BA2">
        <w:rPr>
          <w:color w:val="000000" w:themeColor="text1"/>
          <w:sz w:val="24"/>
          <w:szCs w:val="24"/>
          <w:lang w:val="en-IE"/>
        </w:rPr>
        <w:t>1</w:t>
      </w:r>
    </w:p>
    <w:p w14:paraId="5ADE20B4" w14:textId="77777777" w:rsidR="00D66FA0" w:rsidRPr="008A5BA2" w:rsidRDefault="00D66FA0" w:rsidP="00D66FA0">
      <w:pPr>
        <w:pStyle w:val="InsideCover-tablesection"/>
        <w:tabs>
          <w:tab w:val="clear" w:pos="2820"/>
          <w:tab w:val="left" w:pos="924"/>
          <w:tab w:val="left" w:pos="3235"/>
          <w:tab w:val="left" w:pos="4758"/>
          <w:tab w:val="left" w:pos="6282"/>
          <w:tab w:val="left" w:pos="7806"/>
          <w:tab w:val="left" w:pos="9330"/>
        </w:tabs>
        <w:ind w:left="481"/>
        <w:jc w:val="left"/>
        <w:rPr>
          <w:color w:val="000000" w:themeColor="text1"/>
          <w:sz w:val="24"/>
          <w:szCs w:val="24"/>
          <w:lang w:val="en-IE"/>
        </w:rPr>
      </w:pPr>
      <w:r w:rsidRPr="008A5BA2">
        <w:rPr>
          <w:color w:val="000000" w:themeColor="text1"/>
          <w:sz w:val="24"/>
          <w:szCs w:val="24"/>
          <w:lang w:val="en-IE"/>
        </w:rPr>
        <w:t>Purpose Code</w:t>
      </w:r>
      <w:r w:rsidRPr="008A5BA2">
        <w:rPr>
          <w:color w:val="000000" w:themeColor="text1"/>
          <w:sz w:val="24"/>
          <w:szCs w:val="24"/>
          <w:lang w:val="en-IE"/>
        </w:rPr>
        <w:tab/>
        <w:t>P1 For Information</w:t>
      </w:r>
    </w:p>
    <w:p w14:paraId="16998EBB" w14:textId="036DED5F" w:rsidR="00D66FA0" w:rsidRPr="008A5BA2" w:rsidRDefault="00D66FA0" w:rsidP="00D66FA0">
      <w:pPr>
        <w:pStyle w:val="InsideCover-tablesection"/>
        <w:tabs>
          <w:tab w:val="clear" w:pos="2820"/>
          <w:tab w:val="left" w:pos="924"/>
          <w:tab w:val="left" w:pos="3235"/>
          <w:tab w:val="left" w:pos="4758"/>
          <w:tab w:val="left" w:pos="6282"/>
          <w:tab w:val="left" w:pos="7806"/>
          <w:tab w:val="left" w:pos="9330"/>
        </w:tabs>
        <w:ind w:left="481"/>
        <w:jc w:val="left"/>
        <w:rPr>
          <w:color w:val="000000" w:themeColor="text1"/>
          <w:sz w:val="24"/>
          <w:szCs w:val="24"/>
          <w:lang w:val="en-IE"/>
        </w:rPr>
      </w:pPr>
      <w:r w:rsidRPr="008A5BA2">
        <w:rPr>
          <w:color w:val="000000" w:themeColor="text1"/>
          <w:sz w:val="24"/>
          <w:szCs w:val="24"/>
          <w:lang w:val="en-IE"/>
        </w:rPr>
        <w:t>Status</w:t>
      </w:r>
      <w:r w:rsidRPr="008A5BA2">
        <w:rPr>
          <w:color w:val="000000" w:themeColor="text1"/>
          <w:sz w:val="24"/>
          <w:szCs w:val="24"/>
          <w:lang w:val="en-IE"/>
        </w:rPr>
        <w:tab/>
      </w:r>
      <w:r w:rsidRPr="008A5BA2">
        <w:rPr>
          <w:color w:val="000000" w:themeColor="text1"/>
          <w:sz w:val="24"/>
          <w:szCs w:val="24"/>
          <w:lang w:val="en-IE"/>
        </w:rPr>
        <w:tab/>
      </w:r>
      <w:r w:rsidR="009B711D">
        <w:rPr>
          <w:color w:val="000000" w:themeColor="text1"/>
          <w:sz w:val="24"/>
          <w:szCs w:val="24"/>
          <w:lang w:val="en-IE"/>
        </w:rPr>
        <w:t>First Issue</w:t>
      </w:r>
    </w:p>
    <w:p w14:paraId="1C0560A5" w14:textId="736F9CE7" w:rsidR="00D66FA0" w:rsidRPr="008A5BA2" w:rsidRDefault="00D66FA0" w:rsidP="00D66FA0">
      <w:pPr>
        <w:pStyle w:val="InsideCover-tablesection"/>
        <w:tabs>
          <w:tab w:val="clear" w:pos="2820"/>
          <w:tab w:val="left" w:pos="924"/>
          <w:tab w:val="left" w:pos="3235"/>
        </w:tabs>
        <w:ind w:left="481"/>
        <w:jc w:val="left"/>
        <w:rPr>
          <w:color w:val="000000" w:themeColor="text1"/>
          <w:sz w:val="24"/>
          <w:szCs w:val="24"/>
          <w:lang w:val="en-IE"/>
        </w:rPr>
      </w:pPr>
      <w:r w:rsidRPr="008A5BA2">
        <w:rPr>
          <w:color w:val="000000" w:themeColor="text1"/>
          <w:sz w:val="24"/>
          <w:szCs w:val="24"/>
          <w:lang w:val="en-IE"/>
        </w:rPr>
        <w:t>Author</w:t>
      </w:r>
      <w:r w:rsidRPr="008A5BA2">
        <w:rPr>
          <w:color w:val="000000" w:themeColor="text1"/>
          <w:sz w:val="24"/>
          <w:szCs w:val="24"/>
          <w:lang w:val="en-IE"/>
        </w:rPr>
        <w:tab/>
      </w:r>
      <w:r w:rsidRPr="008A5BA2">
        <w:rPr>
          <w:color w:val="000000" w:themeColor="text1"/>
          <w:sz w:val="24"/>
          <w:szCs w:val="24"/>
          <w:lang w:val="en-IE"/>
        </w:rPr>
        <w:tab/>
      </w:r>
      <w:r w:rsidR="007B32C1" w:rsidRPr="008A5BA2">
        <w:rPr>
          <w:color w:val="000000" w:themeColor="text1"/>
          <w:sz w:val="24"/>
          <w:szCs w:val="24"/>
          <w:lang w:val="en-IE"/>
        </w:rPr>
        <w:t>OKRA</w:t>
      </w:r>
      <w:r w:rsidRPr="008A5BA2">
        <w:rPr>
          <w:color w:val="000000" w:themeColor="text1"/>
          <w:sz w:val="24"/>
          <w:szCs w:val="24"/>
          <w:lang w:val="en-IE"/>
        </w:rPr>
        <w:t>/STW</w:t>
      </w:r>
    </w:p>
    <w:p w14:paraId="15596313" w14:textId="77777777" w:rsidR="00D66FA0" w:rsidRPr="008A5BA2" w:rsidRDefault="00D66FA0" w:rsidP="00D66FA0">
      <w:pPr>
        <w:pStyle w:val="InsideCover-tablesection"/>
        <w:tabs>
          <w:tab w:val="clear" w:pos="2820"/>
          <w:tab w:val="left" w:pos="924"/>
          <w:tab w:val="left" w:pos="3235"/>
          <w:tab w:val="left" w:pos="4758"/>
          <w:tab w:val="left" w:pos="6282"/>
          <w:tab w:val="left" w:pos="7806"/>
          <w:tab w:val="left" w:pos="9330"/>
        </w:tabs>
        <w:ind w:left="481"/>
        <w:jc w:val="left"/>
        <w:rPr>
          <w:color w:val="000000" w:themeColor="text1"/>
          <w:sz w:val="24"/>
          <w:szCs w:val="24"/>
          <w:lang w:val="en-IE"/>
        </w:rPr>
      </w:pPr>
      <w:r w:rsidRPr="008A5BA2">
        <w:rPr>
          <w:color w:val="000000" w:themeColor="text1"/>
          <w:sz w:val="24"/>
          <w:szCs w:val="24"/>
          <w:lang w:val="en-IE"/>
        </w:rPr>
        <w:t>Checked by</w:t>
      </w:r>
      <w:r w:rsidRPr="008A5BA2">
        <w:rPr>
          <w:color w:val="000000" w:themeColor="text1"/>
          <w:sz w:val="24"/>
          <w:szCs w:val="24"/>
          <w:lang w:val="en-IE"/>
        </w:rPr>
        <w:tab/>
        <w:t>STW</w:t>
      </w:r>
    </w:p>
    <w:p w14:paraId="213A8E2C" w14:textId="77777777" w:rsidR="00D66FA0" w:rsidRPr="008A5BA2" w:rsidRDefault="00D66FA0" w:rsidP="00D66FA0">
      <w:pPr>
        <w:pStyle w:val="InsideCover-tablesection"/>
        <w:tabs>
          <w:tab w:val="clear" w:pos="2820"/>
          <w:tab w:val="left" w:pos="924"/>
          <w:tab w:val="left" w:pos="3235"/>
          <w:tab w:val="left" w:pos="4758"/>
          <w:tab w:val="left" w:pos="6282"/>
          <w:tab w:val="left" w:pos="7806"/>
          <w:tab w:val="left" w:pos="9330"/>
        </w:tabs>
        <w:ind w:left="481"/>
        <w:jc w:val="left"/>
        <w:rPr>
          <w:color w:val="000000" w:themeColor="text1"/>
          <w:sz w:val="24"/>
          <w:szCs w:val="24"/>
          <w:lang w:val="en-IE"/>
        </w:rPr>
      </w:pPr>
      <w:r w:rsidRPr="008A5BA2">
        <w:rPr>
          <w:color w:val="000000" w:themeColor="text1"/>
          <w:sz w:val="24"/>
          <w:szCs w:val="24"/>
          <w:lang w:val="en-IE"/>
        </w:rPr>
        <w:t>Approved by</w:t>
      </w:r>
      <w:r w:rsidRPr="008A5BA2">
        <w:rPr>
          <w:color w:val="000000" w:themeColor="text1"/>
          <w:sz w:val="24"/>
          <w:szCs w:val="24"/>
          <w:lang w:val="en-IE"/>
        </w:rPr>
        <w:tab/>
        <w:t>-</w:t>
      </w:r>
    </w:p>
    <w:p w14:paraId="5E6CDF49" w14:textId="374312FB" w:rsidR="00D66FA0" w:rsidRPr="008A5BA2" w:rsidRDefault="00D66FA0" w:rsidP="00D66FA0">
      <w:pPr>
        <w:pStyle w:val="InsideCover-tablesection"/>
        <w:tabs>
          <w:tab w:val="clear" w:pos="2820"/>
          <w:tab w:val="left" w:pos="924"/>
          <w:tab w:val="left" w:pos="3235"/>
        </w:tabs>
        <w:ind w:left="481"/>
        <w:jc w:val="left"/>
        <w:rPr>
          <w:color w:val="000000" w:themeColor="text1"/>
          <w:sz w:val="24"/>
          <w:szCs w:val="24"/>
          <w:lang w:val="en-IE"/>
        </w:rPr>
      </w:pPr>
      <w:r w:rsidRPr="008A5BA2">
        <w:rPr>
          <w:color w:val="000000" w:themeColor="text1"/>
          <w:sz w:val="24"/>
          <w:szCs w:val="24"/>
          <w:lang w:val="en-IE"/>
        </w:rPr>
        <w:t>Date of Issue</w:t>
      </w:r>
      <w:r w:rsidRPr="008A5BA2">
        <w:rPr>
          <w:color w:val="000000" w:themeColor="text1"/>
          <w:sz w:val="24"/>
          <w:szCs w:val="24"/>
          <w:lang w:val="en-IE"/>
        </w:rPr>
        <w:tab/>
      </w:r>
      <w:r w:rsidR="00A111C1">
        <w:rPr>
          <w:color w:val="000000" w:themeColor="text1"/>
          <w:sz w:val="24"/>
          <w:szCs w:val="24"/>
          <w:lang w:val="en-IE"/>
        </w:rPr>
        <w:t>10.0</w:t>
      </w:r>
      <w:r w:rsidR="000E45FD">
        <w:rPr>
          <w:color w:val="000000" w:themeColor="text1"/>
          <w:sz w:val="24"/>
          <w:szCs w:val="24"/>
          <w:lang w:val="en-IE"/>
        </w:rPr>
        <w:t>2</w:t>
      </w:r>
      <w:r w:rsidRPr="008A5BA2">
        <w:rPr>
          <w:color w:val="000000" w:themeColor="text1"/>
          <w:sz w:val="24"/>
          <w:szCs w:val="24"/>
          <w:lang w:val="en-IE"/>
        </w:rPr>
        <w:t>.202</w:t>
      </w:r>
      <w:r w:rsidR="008E4216">
        <w:rPr>
          <w:color w:val="000000" w:themeColor="text1"/>
          <w:sz w:val="24"/>
          <w:szCs w:val="24"/>
          <w:lang w:val="en-IE"/>
        </w:rPr>
        <w:t>6</w:t>
      </w:r>
    </w:p>
    <w:p w14:paraId="4BEFDAAA" w14:textId="77777777" w:rsidR="003F42D4" w:rsidRPr="008A5BA2" w:rsidRDefault="003F42D4" w:rsidP="003F42D4">
      <w:pPr>
        <w:pStyle w:val="InsideCover-Tableinformation"/>
        <w:tabs>
          <w:tab w:val="clear" w:pos="2820"/>
          <w:tab w:val="left" w:pos="3271"/>
        </w:tabs>
        <w:ind w:left="134" w:firstLine="8"/>
        <w:jc w:val="left"/>
        <w:rPr>
          <w:rFonts w:ascii="Arial" w:hAnsi="Arial"/>
          <w:lang w:val="en-IE"/>
        </w:rPr>
      </w:pPr>
    </w:p>
    <w:p w14:paraId="3CE45318" w14:textId="7B65A355" w:rsidR="00F77E61" w:rsidRPr="008A5BA2" w:rsidRDefault="00F77E61" w:rsidP="007B5928">
      <w:pPr>
        <w:pStyle w:val="BodyText"/>
        <w:rPr>
          <w:lang w:val="en-IE"/>
        </w:rPr>
      </w:pPr>
    </w:p>
    <w:p w14:paraId="6EAEE218" w14:textId="77777777" w:rsidR="008641C6" w:rsidRPr="008A5BA2" w:rsidRDefault="008641C6" w:rsidP="007B5928">
      <w:pPr>
        <w:pStyle w:val="BodyText"/>
        <w:rPr>
          <w:lang w:val="en-IE"/>
        </w:rPr>
      </w:pPr>
    </w:p>
    <w:p w14:paraId="4FC9AC8B" w14:textId="77777777" w:rsidR="008641C6" w:rsidRPr="008A5BA2" w:rsidRDefault="008641C6" w:rsidP="007B5928">
      <w:pPr>
        <w:pStyle w:val="BodyText"/>
        <w:rPr>
          <w:lang w:val="en-IE"/>
        </w:rPr>
      </w:pPr>
    </w:p>
    <w:p w14:paraId="5250247E" w14:textId="77777777" w:rsidR="008641C6" w:rsidRPr="008A5BA2" w:rsidRDefault="008641C6" w:rsidP="007B5928">
      <w:pPr>
        <w:pStyle w:val="BodyText"/>
        <w:rPr>
          <w:lang w:val="en-IE"/>
        </w:rPr>
      </w:pPr>
    </w:p>
    <w:p w14:paraId="547759FD" w14:textId="77777777" w:rsidR="008641C6" w:rsidRPr="008A5BA2" w:rsidRDefault="008641C6" w:rsidP="007B5928">
      <w:pPr>
        <w:pStyle w:val="BodyText"/>
        <w:rPr>
          <w:lang w:val="en-IE"/>
        </w:rPr>
      </w:pPr>
    </w:p>
    <w:p w14:paraId="43075A8A" w14:textId="77777777" w:rsidR="008641C6" w:rsidRPr="008A5BA2" w:rsidRDefault="008641C6" w:rsidP="007B5928">
      <w:pPr>
        <w:pStyle w:val="BodyText"/>
        <w:rPr>
          <w:lang w:val="en-IE"/>
        </w:rPr>
      </w:pPr>
    </w:p>
    <w:p w14:paraId="228B2F30" w14:textId="77777777" w:rsidR="008641C6" w:rsidRPr="008A5BA2" w:rsidRDefault="008641C6" w:rsidP="007B5928">
      <w:pPr>
        <w:pStyle w:val="BodyText"/>
        <w:rPr>
          <w:lang w:val="en-IE"/>
        </w:rPr>
      </w:pPr>
    </w:p>
    <w:p w14:paraId="62B53497" w14:textId="77777777" w:rsidR="008641C6" w:rsidRPr="008A5BA2" w:rsidRDefault="008641C6" w:rsidP="007B5928">
      <w:pPr>
        <w:pStyle w:val="BodyText"/>
        <w:rPr>
          <w:lang w:val="en-IE"/>
        </w:rPr>
      </w:pPr>
    </w:p>
    <w:p w14:paraId="5D8CA9DD" w14:textId="77777777" w:rsidR="008641C6" w:rsidRPr="008A5BA2" w:rsidRDefault="008641C6" w:rsidP="007B5928">
      <w:pPr>
        <w:pStyle w:val="BodyText"/>
        <w:rPr>
          <w:lang w:val="en-IE"/>
        </w:rPr>
      </w:pPr>
    </w:p>
    <w:p w14:paraId="31B05BF4" w14:textId="77777777" w:rsidR="008641C6" w:rsidRPr="008A5BA2" w:rsidRDefault="008641C6" w:rsidP="007B5928">
      <w:pPr>
        <w:pStyle w:val="BodyText"/>
        <w:rPr>
          <w:lang w:val="en-IE"/>
        </w:rPr>
      </w:pPr>
    </w:p>
    <w:p w14:paraId="245B2967" w14:textId="18CC60AC" w:rsidR="003F42D4" w:rsidRPr="008A5BA2" w:rsidRDefault="003F42D4" w:rsidP="007B5928">
      <w:pPr>
        <w:rPr>
          <w:lang w:val="en-IE"/>
        </w:rPr>
      </w:pPr>
    </w:p>
    <w:p w14:paraId="2AE7702F" w14:textId="17D55720" w:rsidR="00F77E61" w:rsidRPr="008A5BA2" w:rsidRDefault="003F42D4" w:rsidP="008641C6">
      <w:pPr>
        <w:widowControl/>
        <w:tabs>
          <w:tab w:val="clear" w:pos="2820"/>
        </w:tabs>
        <w:autoSpaceDE/>
        <w:autoSpaceDN/>
        <w:spacing w:after="160" w:line="259" w:lineRule="auto"/>
        <w:jc w:val="left"/>
        <w:rPr>
          <w:lang w:val="en-IE"/>
        </w:rPr>
        <w:sectPr w:rsidR="00F77E61" w:rsidRPr="008A5BA2" w:rsidSect="00F77E61">
          <w:headerReference w:type="default" r:id="rId8"/>
          <w:footerReference w:type="default" r:id="rId9"/>
          <w:pgSz w:w="11906" w:h="16838"/>
          <w:pgMar w:top="1922" w:right="459" w:bottom="0" w:left="459" w:header="709" w:footer="709" w:gutter="0"/>
          <w:cols w:space="708"/>
          <w:docGrid w:linePitch="360"/>
        </w:sectPr>
      </w:pPr>
      <w:r w:rsidRPr="008A5BA2">
        <w:rPr>
          <w:lang w:val="en-IE"/>
        </w:rPr>
        <w:br w:type="page"/>
      </w:r>
    </w:p>
    <w:p w14:paraId="29CC04DB" w14:textId="18195398" w:rsidR="00930A11" w:rsidRPr="008A5BA2" w:rsidRDefault="00930A11" w:rsidP="00AD0EA6">
      <w:pPr>
        <w:rPr>
          <w:lang w:val="en-IE"/>
        </w:rPr>
      </w:pPr>
      <w:r w:rsidRPr="008A5BA2">
        <w:rPr>
          <w:lang w:val="en-IE"/>
        </w:rPr>
        <w:lastRenderedPageBreak/>
        <w:t xml:space="preserve">Page </w:t>
      </w:r>
      <w:r w:rsidR="00855B8C" w:rsidRPr="008A5BA2">
        <w:rPr>
          <w:lang w:val="en-IE"/>
        </w:rPr>
        <w:t>3</w:t>
      </w:r>
    </w:p>
    <w:p w14:paraId="7C87E71B" w14:textId="77777777" w:rsidR="008641C6" w:rsidRPr="008A5BA2" w:rsidRDefault="008641C6" w:rsidP="00930A11">
      <w:pPr>
        <w:rPr>
          <w:lang w:val="en-IE"/>
        </w:rPr>
      </w:pPr>
    </w:p>
    <w:bookmarkStart w:id="0" w:name="_Hlk200119867" w:displacedByCustomXml="next"/>
    <w:sdt>
      <w:sdtPr>
        <w:rPr>
          <w:rFonts w:eastAsia="Arial" w:cs="Arial"/>
          <w:color w:val="auto"/>
          <w:spacing w:val="0"/>
          <w:sz w:val="24"/>
          <w:szCs w:val="24"/>
          <w:lang w:val="en-IE"/>
        </w:rPr>
        <w:id w:val="-185984685"/>
        <w:docPartObj>
          <w:docPartGallery w:val="Table of Contents"/>
          <w:docPartUnique/>
        </w:docPartObj>
      </w:sdtPr>
      <w:sdtEndPr>
        <w:rPr>
          <w:b/>
          <w:bCs/>
          <w:noProof/>
        </w:rPr>
      </w:sdtEndPr>
      <w:sdtContent>
        <w:p w14:paraId="770CF40C" w14:textId="3E3F9F38" w:rsidR="00C93E83" w:rsidRPr="008A5BA2" w:rsidRDefault="00C93E83" w:rsidP="007B5928">
          <w:pPr>
            <w:pStyle w:val="Subtitle"/>
            <w:rPr>
              <w:rFonts w:eastAsia="Arial" w:cs="Arial"/>
              <w:color w:val="auto"/>
              <w:spacing w:val="0"/>
              <w:sz w:val="24"/>
              <w:szCs w:val="24"/>
              <w:lang w:val="en-IE"/>
            </w:rPr>
          </w:pPr>
          <w:r w:rsidRPr="008A5BA2">
            <w:rPr>
              <w:lang w:val="en-IE"/>
            </w:rPr>
            <w:t>Contents</w:t>
          </w:r>
        </w:p>
        <w:p w14:paraId="4E47A4AE" w14:textId="0BDA4DAF" w:rsidR="00BA69D2" w:rsidRDefault="00C93E83">
          <w:pPr>
            <w:pStyle w:val="TOC1"/>
            <w:tabs>
              <w:tab w:val="left" w:pos="480"/>
              <w:tab w:val="right" w:leader="dot" w:pos="9016"/>
            </w:tabs>
            <w:rPr>
              <w:rFonts w:asciiTheme="minorHAnsi" w:eastAsiaTheme="minorEastAsia" w:hAnsiTheme="minorHAnsi" w:cstheme="minorBidi"/>
              <w:noProof/>
              <w:kern w:val="2"/>
              <w:lang w:val="en-IE" w:eastAsia="en-IE"/>
              <w14:ligatures w14:val="standardContextual"/>
            </w:rPr>
          </w:pPr>
          <w:r w:rsidRPr="008A5BA2">
            <w:rPr>
              <w:lang w:val="en-IE"/>
            </w:rPr>
            <w:fldChar w:fldCharType="begin"/>
          </w:r>
          <w:r w:rsidRPr="008A5BA2">
            <w:rPr>
              <w:lang w:val="en-IE"/>
            </w:rPr>
            <w:instrText xml:space="preserve"> TOC \o "1-3" \h \z \u </w:instrText>
          </w:r>
          <w:r w:rsidRPr="008A5BA2">
            <w:rPr>
              <w:lang w:val="en-IE"/>
            </w:rPr>
            <w:fldChar w:fldCharType="separate"/>
          </w:r>
          <w:hyperlink w:anchor="_Toc221633817" w:history="1">
            <w:r w:rsidR="00BA69D2" w:rsidRPr="00651E8E">
              <w:rPr>
                <w:rStyle w:val="Hyperlink"/>
                <w:noProof/>
                <w:lang w:val="en-IE"/>
              </w:rPr>
              <w:t>1.</w:t>
            </w:r>
            <w:r w:rsidR="00BA69D2">
              <w:rPr>
                <w:rFonts w:asciiTheme="minorHAnsi" w:eastAsiaTheme="minorEastAsia" w:hAnsiTheme="minorHAnsi" w:cstheme="minorBidi"/>
                <w:noProof/>
                <w:kern w:val="2"/>
                <w:lang w:val="en-IE" w:eastAsia="en-IE"/>
                <w14:ligatures w14:val="standardContextual"/>
              </w:rPr>
              <w:tab/>
            </w:r>
            <w:r w:rsidR="00BA69D2" w:rsidRPr="00651E8E">
              <w:rPr>
                <w:rStyle w:val="Hyperlink"/>
                <w:noProof/>
              </w:rPr>
              <w:t>Proposed Plan Drawing</w:t>
            </w:r>
            <w:r w:rsidR="00BA69D2">
              <w:rPr>
                <w:noProof/>
                <w:webHidden/>
              </w:rPr>
              <w:tab/>
            </w:r>
            <w:r w:rsidR="00BA69D2">
              <w:rPr>
                <w:noProof/>
                <w:webHidden/>
              </w:rPr>
              <w:fldChar w:fldCharType="begin"/>
            </w:r>
            <w:r w:rsidR="00BA69D2">
              <w:rPr>
                <w:noProof/>
                <w:webHidden/>
              </w:rPr>
              <w:instrText xml:space="preserve"> PAGEREF _Toc221633817 \h </w:instrText>
            </w:r>
            <w:r w:rsidR="00BA69D2">
              <w:rPr>
                <w:noProof/>
                <w:webHidden/>
              </w:rPr>
            </w:r>
            <w:r w:rsidR="00BA69D2">
              <w:rPr>
                <w:noProof/>
                <w:webHidden/>
              </w:rPr>
              <w:fldChar w:fldCharType="separate"/>
            </w:r>
            <w:r w:rsidR="00BA69D2">
              <w:rPr>
                <w:noProof/>
                <w:webHidden/>
              </w:rPr>
              <w:t>4</w:t>
            </w:r>
            <w:r w:rsidR="00BA69D2">
              <w:rPr>
                <w:noProof/>
                <w:webHidden/>
              </w:rPr>
              <w:fldChar w:fldCharType="end"/>
            </w:r>
          </w:hyperlink>
        </w:p>
        <w:p w14:paraId="2D85828D" w14:textId="2BB1919F" w:rsidR="00BA69D2" w:rsidRDefault="00BA69D2">
          <w:pPr>
            <w:pStyle w:val="TOC1"/>
            <w:tabs>
              <w:tab w:val="left" w:pos="480"/>
              <w:tab w:val="right" w:leader="dot" w:pos="9016"/>
            </w:tabs>
            <w:rPr>
              <w:rFonts w:asciiTheme="minorHAnsi" w:eastAsiaTheme="minorEastAsia" w:hAnsiTheme="minorHAnsi" w:cstheme="minorBidi"/>
              <w:noProof/>
              <w:kern w:val="2"/>
              <w:lang w:val="en-IE" w:eastAsia="en-IE"/>
              <w14:ligatures w14:val="standardContextual"/>
            </w:rPr>
          </w:pPr>
          <w:hyperlink w:anchor="_Toc221633818" w:history="1">
            <w:r w:rsidRPr="00651E8E">
              <w:rPr>
                <w:rStyle w:val="Hyperlink"/>
                <w:noProof/>
                <w:lang w:val="en-IE"/>
              </w:rPr>
              <w:t>2.</w:t>
            </w:r>
            <w:r>
              <w:rPr>
                <w:rFonts w:asciiTheme="minorHAnsi" w:eastAsiaTheme="minorEastAsia" w:hAnsiTheme="minorHAnsi" w:cstheme="minorBidi"/>
                <w:noProof/>
                <w:kern w:val="2"/>
                <w:lang w:val="en-IE" w:eastAsia="en-IE"/>
                <w14:ligatures w14:val="standardContextual"/>
              </w:rPr>
              <w:tab/>
            </w:r>
            <w:r w:rsidRPr="00651E8E">
              <w:rPr>
                <w:rStyle w:val="Hyperlink"/>
                <w:noProof/>
                <w:lang w:val="en-IE"/>
              </w:rPr>
              <w:t>Proposed Access Arrangements Diagrams</w:t>
            </w:r>
            <w:r>
              <w:rPr>
                <w:noProof/>
                <w:webHidden/>
              </w:rPr>
              <w:tab/>
            </w:r>
            <w:r>
              <w:rPr>
                <w:noProof/>
                <w:webHidden/>
              </w:rPr>
              <w:fldChar w:fldCharType="begin"/>
            </w:r>
            <w:r>
              <w:rPr>
                <w:noProof/>
                <w:webHidden/>
              </w:rPr>
              <w:instrText xml:space="preserve"> PAGEREF _Toc221633818 \h </w:instrText>
            </w:r>
            <w:r>
              <w:rPr>
                <w:noProof/>
                <w:webHidden/>
              </w:rPr>
            </w:r>
            <w:r>
              <w:rPr>
                <w:noProof/>
                <w:webHidden/>
              </w:rPr>
              <w:fldChar w:fldCharType="separate"/>
            </w:r>
            <w:r>
              <w:rPr>
                <w:noProof/>
                <w:webHidden/>
              </w:rPr>
              <w:t>6</w:t>
            </w:r>
            <w:r>
              <w:rPr>
                <w:noProof/>
                <w:webHidden/>
              </w:rPr>
              <w:fldChar w:fldCharType="end"/>
            </w:r>
          </w:hyperlink>
        </w:p>
        <w:p w14:paraId="75EE1ECE" w14:textId="7AD6C311" w:rsidR="00BA69D2" w:rsidRDefault="00BA69D2">
          <w:pPr>
            <w:pStyle w:val="TOC2"/>
            <w:tabs>
              <w:tab w:val="left" w:pos="960"/>
              <w:tab w:val="right" w:leader="dot" w:pos="9016"/>
            </w:tabs>
            <w:rPr>
              <w:rFonts w:asciiTheme="minorHAnsi" w:eastAsiaTheme="minorEastAsia" w:hAnsiTheme="minorHAnsi" w:cstheme="minorBidi"/>
              <w:noProof/>
              <w:kern w:val="2"/>
              <w:lang w:val="en-IE" w:eastAsia="en-IE"/>
              <w14:ligatures w14:val="standardContextual"/>
            </w:rPr>
          </w:pPr>
          <w:hyperlink w:anchor="_Toc221633819" w:history="1">
            <w:r w:rsidRPr="00651E8E">
              <w:rPr>
                <w:rStyle w:val="Hyperlink"/>
                <w:noProof/>
                <w:lang w:val="en-IE"/>
              </w:rPr>
              <w:t>2.1.</w:t>
            </w:r>
            <w:r>
              <w:rPr>
                <w:rFonts w:asciiTheme="minorHAnsi" w:eastAsiaTheme="minorEastAsia" w:hAnsiTheme="minorHAnsi" w:cstheme="minorBidi"/>
                <w:noProof/>
                <w:kern w:val="2"/>
                <w:lang w:val="en-IE" w:eastAsia="en-IE"/>
                <w14:ligatures w14:val="standardContextual"/>
              </w:rPr>
              <w:tab/>
            </w:r>
            <w:r w:rsidRPr="00651E8E">
              <w:rPr>
                <w:rStyle w:val="Hyperlink"/>
                <w:noProof/>
                <w:lang w:val="en-IE"/>
              </w:rPr>
              <w:t>Proposed Delivery &amp; Servicing Routes (morning period) Diagram</w:t>
            </w:r>
            <w:r>
              <w:rPr>
                <w:noProof/>
                <w:webHidden/>
              </w:rPr>
              <w:tab/>
            </w:r>
            <w:r>
              <w:rPr>
                <w:noProof/>
                <w:webHidden/>
              </w:rPr>
              <w:fldChar w:fldCharType="begin"/>
            </w:r>
            <w:r>
              <w:rPr>
                <w:noProof/>
                <w:webHidden/>
              </w:rPr>
              <w:instrText xml:space="preserve"> PAGEREF _Toc221633819 \h </w:instrText>
            </w:r>
            <w:r>
              <w:rPr>
                <w:noProof/>
                <w:webHidden/>
              </w:rPr>
            </w:r>
            <w:r>
              <w:rPr>
                <w:noProof/>
                <w:webHidden/>
              </w:rPr>
              <w:fldChar w:fldCharType="separate"/>
            </w:r>
            <w:r>
              <w:rPr>
                <w:noProof/>
                <w:webHidden/>
              </w:rPr>
              <w:t>6</w:t>
            </w:r>
            <w:r>
              <w:rPr>
                <w:noProof/>
                <w:webHidden/>
              </w:rPr>
              <w:fldChar w:fldCharType="end"/>
            </w:r>
          </w:hyperlink>
        </w:p>
        <w:p w14:paraId="4B20BEE5" w14:textId="3C980C8E" w:rsidR="00BA69D2" w:rsidRDefault="00BA69D2">
          <w:pPr>
            <w:pStyle w:val="TOC2"/>
            <w:tabs>
              <w:tab w:val="left" w:pos="960"/>
              <w:tab w:val="right" w:leader="dot" w:pos="9016"/>
            </w:tabs>
            <w:rPr>
              <w:rFonts w:asciiTheme="minorHAnsi" w:eastAsiaTheme="minorEastAsia" w:hAnsiTheme="minorHAnsi" w:cstheme="minorBidi"/>
              <w:noProof/>
              <w:kern w:val="2"/>
              <w:lang w:val="en-IE" w:eastAsia="en-IE"/>
              <w14:ligatures w14:val="standardContextual"/>
            </w:rPr>
          </w:pPr>
          <w:hyperlink w:anchor="_Toc221633820" w:history="1">
            <w:r w:rsidRPr="00651E8E">
              <w:rPr>
                <w:rStyle w:val="Hyperlink"/>
                <w:noProof/>
                <w:lang w:val="en-IE"/>
              </w:rPr>
              <w:t>2.2.</w:t>
            </w:r>
            <w:r>
              <w:rPr>
                <w:rFonts w:asciiTheme="minorHAnsi" w:eastAsiaTheme="minorEastAsia" w:hAnsiTheme="minorHAnsi" w:cstheme="minorBidi"/>
                <w:noProof/>
                <w:kern w:val="2"/>
                <w:lang w:val="en-IE" w:eastAsia="en-IE"/>
                <w14:ligatures w14:val="standardContextual"/>
              </w:rPr>
              <w:tab/>
            </w:r>
            <w:r w:rsidRPr="00651E8E">
              <w:rPr>
                <w:rStyle w:val="Hyperlink"/>
                <w:noProof/>
                <w:lang w:val="en-IE"/>
              </w:rPr>
              <w:t>Proposed Local Access (after morning period) Diagram</w:t>
            </w:r>
            <w:r>
              <w:rPr>
                <w:noProof/>
                <w:webHidden/>
              </w:rPr>
              <w:tab/>
            </w:r>
            <w:r>
              <w:rPr>
                <w:noProof/>
                <w:webHidden/>
              </w:rPr>
              <w:fldChar w:fldCharType="begin"/>
            </w:r>
            <w:r>
              <w:rPr>
                <w:noProof/>
                <w:webHidden/>
              </w:rPr>
              <w:instrText xml:space="preserve"> PAGEREF _Toc221633820 \h </w:instrText>
            </w:r>
            <w:r>
              <w:rPr>
                <w:noProof/>
                <w:webHidden/>
              </w:rPr>
            </w:r>
            <w:r>
              <w:rPr>
                <w:noProof/>
                <w:webHidden/>
              </w:rPr>
              <w:fldChar w:fldCharType="separate"/>
            </w:r>
            <w:r>
              <w:rPr>
                <w:noProof/>
                <w:webHidden/>
              </w:rPr>
              <w:t>7</w:t>
            </w:r>
            <w:r>
              <w:rPr>
                <w:noProof/>
                <w:webHidden/>
              </w:rPr>
              <w:fldChar w:fldCharType="end"/>
            </w:r>
          </w:hyperlink>
        </w:p>
        <w:p w14:paraId="42482CFC" w14:textId="4DAF86E7" w:rsidR="00BA69D2" w:rsidRDefault="00BA69D2">
          <w:pPr>
            <w:pStyle w:val="TOC2"/>
            <w:tabs>
              <w:tab w:val="left" w:pos="960"/>
              <w:tab w:val="right" w:leader="dot" w:pos="9016"/>
            </w:tabs>
            <w:rPr>
              <w:rFonts w:asciiTheme="minorHAnsi" w:eastAsiaTheme="minorEastAsia" w:hAnsiTheme="minorHAnsi" w:cstheme="minorBidi"/>
              <w:noProof/>
              <w:kern w:val="2"/>
              <w:lang w:val="en-IE" w:eastAsia="en-IE"/>
              <w14:ligatures w14:val="standardContextual"/>
            </w:rPr>
          </w:pPr>
          <w:hyperlink w:anchor="_Toc221633821" w:history="1">
            <w:r w:rsidRPr="00651E8E">
              <w:rPr>
                <w:rStyle w:val="Hyperlink"/>
                <w:noProof/>
                <w:lang w:val="en-IE"/>
              </w:rPr>
              <w:t>2.3.</w:t>
            </w:r>
            <w:r>
              <w:rPr>
                <w:rFonts w:asciiTheme="minorHAnsi" w:eastAsiaTheme="minorEastAsia" w:hAnsiTheme="minorHAnsi" w:cstheme="minorBidi"/>
                <w:noProof/>
                <w:kern w:val="2"/>
                <w:lang w:val="en-IE" w:eastAsia="en-IE"/>
                <w14:ligatures w14:val="standardContextual"/>
              </w:rPr>
              <w:tab/>
            </w:r>
            <w:r w:rsidRPr="00651E8E">
              <w:rPr>
                <w:rStyle w:val="Hyperlink"/>
                <w:noProof/>
                <w:lang w:val="en-IE"/>
              </w:rPr>
              <w:t>Proposed Parking Arrangement Diagram</w:t>
            </w:r>
            <w:r>
              <w:rPr>
                <w:noProof/>
                <w:webHidden/>
              </w:rPr>
              <w:tab/>
            </w:r>
            <w:r>
              <w:rPr>
                <w:noProof/>
                <w:webHidden/>
              </w:rPr>
              <w:fldChar w:fldCharType="begin"/>
            </w:r>
            <w:r>
              <w:rPr>
                <w:noProof/>
                <w:webHidden/>
              </w:rPr>
              <w:instrText xml:space="preserve"> PAGEREF _Toc221633821 \h </w:instrText>
            </w:r>
            <w:r>
              <w:rPr>
                <w:noProof/>
                <w:webHidden/>
              </w:rPr>
            </w:r>
            <w:r>
              <w:rPr>
                <w:noProof/>
                <w:webHidden/>
              </w:rPr>
              <w:fldChar w:fldCharType="separate"/>
            </w:r>
            <w:r>
              <w:rPr>
                <w:noProof/>
                <w:webHidden/>
              </w:rPr>
              <w:t>9</w:t>
            </w:r>
            <w:r>
              <w:rPr>
                <w:noProof/>
                <w:webHidden/>
              </w:rPr>
              <w:fldChar w:fldCharType="end"/>
            </w:r>
          </w:hyperlink>
        </w:p>
        <w:p w14:paraId="65F2988F" w14:textId="1497033F" w:rsidR="00BA69D2" w:rsidRDefault="00BA69D2">
          <w:pPr>
            <w:pStyle w:val="TOC2"/>
            <w:tabs>
              <w:tab w:val="left" w:pos="960"/>
              <w:tab w:val="right" w:leader="dot" w:pos="9016"/>
            </w:tabs>
            <w:rPr>
              <w:rFonts w:asciiTheme="minorHAnsi" w:eastAsiaTheme="minorEastAsia" w:hAnsiTheme="minorHAnsi" w:cstheme="minorBidi"/>
              <w:noProof/>
              <w:kern w:val="2"/>
              <w:lang w:val="en-IE" w:eastAsia="en-IE"/>
              <w14:ligatures w14:val="standardContextual"/>
            </w:rPr>
          </w:pPr>
          <w:hyperlink w:anchor="_Toc221633822" w:history="1">
            <w:r w:rsidRPr="00651E8E">
              <w:rPr>
                <w:rStyle w:val="Hyperlink"/>
                <w:noProof/>
                <w:lang w:val="en-IE"/>
              </w:rPr>
              <w:t>2.4.</w:t>
            </w:r>
            <w:r>
              <w:rPr>
                <w:rFonts w:asciiTheme="minorHAnsi" w:eastAsiaTheme="minorEastAsia" w:hAnsiTheme="minorHAnsi" w:cstheme="minorBidi"/>
                <w:noProof/>
                <w:kern w:val="2"/>
                <w:lang w:val="en-IE" w:eastAsia="en-IE"/>
                <w14:ligatures w14:val="standardContextual"/>
              </w:rPr>
              <w:tab/>
            </w:r>
            <w:r w:rsidRPr="00651E8E">
              <w:rPr>
                <w:rStyle w:val="Hyperlink"/>
                <w:noProof/>
                <w:lang w:val="en-IE"/>
              </w:rPr>
              <w:t>Proposed Emergency Vehicle Route Diagram</w:t>
            </w:r>
            <w:r>
              <w:rPr>
                <w:noProof/>
                <w:webHidden/>
              </w:rPr>
              <w:tab/>
            </w:r>
            <w:r>
              <w:rPr>
                <w:noProof/>
                <w:webHidden/>
              </w:rPr>
              <w:fldChar w:fldCharType="begin"/>
            </w:r>
            <w:r>
              <w:rPr>
                <w:noProof/>
                <w:webHidden/>
              </w:rPr>
              <w:instrText xml:space="preserve"> PAGEREF _Toc221633822 \h </w:instrText>
            </w:r>
            <w:r>
              <w:rPr>
                <w:noProof/>
                <w:webHidden/>
              </w:rPr>
            </w:r>
            <w:r>
              <w:rPr>
                <w:noProof/>
                <w:webHidden/>
              </w:rPr>
              <w:fldChar w:fldCharType="separate"/>
            </w:r>
            <w:r>
              <w:rPr>
                <w:noProof/>
                <w:webHidden/>
              </w:rPr>
              <w:t>10</w:t>
            </w:r>
            <w:r>
              <w:rPr>
                <w:noProof/>
                <w:webHidden/>
              </w:rPr>
              <w:fldChar w:fldCharType="end"/>
            </w:r>
          </w:hyperlink>
        </w:p>
        <w:p w14:paraId="26D39E10" w14:textId="2448624A" w:rsidR="00BA69D2" w:rsidRDefault="00BA69D2">
          <w:pPr>
            <w:pStyle w:val="TOC2"/>
            <w:tabs>
              <w:tab w:val="left" w:pos="960"/>
              <w:tab w:val="right" w:leader="dot" w:pos="9016"/>
            </w:tabs>
            <w:rPr>
              <w:rFonts w:asciiTheme="minorHAnsi" w:eastAsiaTheme="minorEastAsia" w:hAnsiTheme="minorHAnsi" w:cstheme="minorBidi"/>
              <w:noProof/>
              <w:kern w:val="2"/>
              <w:lang w:val="en-IE" w:eastAsia="en-IE"/>
              <w14:ligatures w14:val="standardContextual"/>
            </w:rPr>
          </w:pPr>
          <w:hyperlink w:anchor="_Toc221633823" w:history="1">
            <w:r w:rsidRPr="00651E8E">
              <w:rPr>
                <w:rStyle w:val="Hyperlink"/>
                <w:noProof/>
                <w:lang w:val="en-IE"/>
              </w:rPr>
              <w:t>2.5.</w:t>
            </w:r>
            <w:r>
              <w:rPr>
                <w:rFonts w:asciiTheme="minorHAnsi" w:eastAsiaTheme="minorEastAsia" w:hAnsiTheme="minorHAnsi" w:cstheme="minorBidi"/>
                <w:noProof/>
                <w:kern w:val="2"/>
                <w:lang w:val="en-IE" w:eastAsia="en-IE"/>
                <w14:ligatures w14:val="standardContextual"/>
              </w:rPr>
              <w:tab/>
            </w:r>
            <w:r w:rsidRPr="00651E8E">
              <w:rPr>
                <w:rStyle w:val="Hyperlink"/>
                <w:noProof/>
                <w:lang w:val="en-IE"/>
              </w:rPr>
              <w:t>Proposed Cycle Routes Diagram</w:t>
            </w:r>
            <w:r>
              <w:rPr>
                <w:noProof/>
                <w:webHidden/>
              </w:rPr>
              <w:tab/>
            </w:r>
            <w:r>
              <w:rPr>
                <w:noProof/>
                <w:webHidden/>
              </w:rPr>
              <w:fldChar w:fldCharType="begin"/>
            </w:r>
            <w:r>
              <w:rPr>
                <w:noProof/>
                <w:webHidden/>
              </w:rPr>
              <w:instrText xml:space="preserve"> PAGEREF _Toc221633823 \h </w:instrText>
            </w:r>
            <w:r>
              <w:rPr>
                <w:noProof/>
                <w:webHidden/>
              </w:rPr>
            </w:r>
            <w:r>
              <w:rPr>
                <w:noProof/>
                <w:webHidden/>
              </w:rPr>
              <w:fldChar w:fldCharType="separate"/>
            </w:r>
            <w:r>
              <w:rPr>
                <w:noProof/>
                <w:webHidden/>
              </w:rPr>
              <w:t>12</w:t>
            </w:r>
            <w:r>
              <w:rPr>
                <w:noProof/>
                <w:webHidden/>
              </w:rPr>
              <w:fldChar w:fldCharType="end"/>
            </w:r>
          </w:hyperlink>
        </w:p>
        <w:p w14:paraId="1F6385CF" w14:textId="446A6228" w:rsidR="00BA69D2" w:rsidRDefault="00BA69D2">
          <w:pPr>
            <w:pStyle w:val="TOC1"/>
            <w:tabs>
              <w:tab w:val="left" w:pos="480"/>
              <w:tab w:val="right" w:leader="dot" w:pos="9016"/>
            </w:tabs>
            <w:rPr>
              <w:rFonts w:asciiTheme="minorHAnsi" w:eastAsiaTheme="minorEastAsia" w:hAnsiTheme="minorHAnsi" w:cstheme="minorBidi"/>
              <w:noProof/>
              <w:kern w:val="2"/>
              <w:lang w:val="en-IE" w:eastAsia="en-IE"/>
              <w14:ligatures w14:val="standardContextual"/>
            </w:rPr>
          </w:pPr>
          <w:hyperlink w:anchor="_Toc221633824" w:history="1">
            <w:r w:rsidRPr="00651E8E">
              <w:rPr>
                <w:rStyle w:val="Hyperlink"/>
                <w:noProof/>
                <w:lang w:val="en-IE"/>
              </w:rPr>
              <w:t>3.</w:t>
            </w:r>
            <w:r>
              <w:rPr>
                <w:rFonts w:asciiTheme="minorHAnsi" w:eastAsiaTheme="minorEastAsia" w:hAnsiTheme="minorHAnsi" w:cstheme="minorBidi"/>
                <w:noProof/>
                <w:kern w:val="2"/>
                <w:lang w:val="en-IE" w:eastAsia="en-IE"/>
                <w14:ligatures w14:val="standardContextual"/>
              </w:rPr>
              <w:tab/>
            </w:r>
            <w:r>
              <w:rPr>
                <w:rStyle w:val="Hyperlink"/>
                <w:noProof/>
                <w:lang w:val="en-IE"/>
              </w:rPr>
              <w:t>Proposed Typical Cross Section</w:t>
            </w:r>
            <w:r>
              <w:rPr>
                <w:noProof/>
                <w:webHidden/>
              </w:rPr>
              <w:tab/>
            </w:r>
            <w:r>
              <w:rPr>
                <w:noProof/>
                <w:webHidden/>
              </w:rPr>
              <w:fldChar w:fldCharType="begin"/>
            </w:r>
            <w:r>
              <w:rPr>
                <w:noProof/>
                <w:webHidden/>
              </w:rPr>
              <w:instrText xml:space="preserve"> PAGEREF _Toc221633824 \h </w:instrText>
            </w:r>
            <w:r>
              <w:rPr>
                <w:noProof/>
                <w:webHidden/>
              </w:rPr>
            </w:r>
            <w:r>
              <w:rPr>
                <w:noProof/>
                <w:webHidden/>
              </w:rPr>
              <w:fldChar w:fldCharType="separate"/>
            </w:r>
            <w:r>
              <w:rPr>
                <w:noProof/>
                <w:webHidden/>
              </w:rPr>
              <w:t>13</w:t>
            </w:r>
            <w:r>
              <w:rPr>
                <w:noProof/>
                <w:webHidden/>
              </w:rPr>
              <w:fldChar w:fldCharType="end"/>
            </w:r>
          </w:hyperlink>
        </w:p>
        <w:p w14:paraId="4811204E" w14:textId="775FEEB5" w:rsidR="00BA69D2" w:rsidRDefault="00BA69D2">
          <w:pPr>
            <w:pStyle w:val="TOC1"/>
            <w:tabs>
              <w:tab w:val="left" w:pos="480"/>
              <w:tab w:val="right" w:leader="dot" w:pos="9016"/>
            </w:tabs>
            <w:rPr>
              <w:rFonts w:asciiTheme="minorHAnsi" w:eastAsiaTheme="minorEastAsia" w:hAnsiTheme="minorHAnsi" w:cstheme="minorBidi"/>
              <w:noProof/>
              <w:kern w:val="2"/>
              <w:lang w:val="en-IE" w:eastAsia="en-IE"/>
              <w14:ligatures w14:val="standardContextual"/>
            </w:rPr>
          </w:pPr>
          <w:hyperlink w:anchor="_Toc221633825" w:history="1">
            <w:r w:rsidRPr="00651E8E">
              <w:rPr>
                <w:rStyle w:val="Hyperlink"/>
                <w:noProof/>
                <w:lang w:val="en-IE"/>
              </w:rPr>
              <w:t>4.</w:t>
            </w:r>
            <w:r>
              <w:rPr>
                <w:rFonts w:asciiTheme="minorHAnsi" w:eastAsiaTheme="minorEastAsia" w:hAnsiTheme="minorHAnsi" w:cstheme="minorBidi"/>
                <w:noProof/>
                <w:kern w:val="2"/>
                <w:lang w:val="en-IE" w:eastAsia="en-IE"/>
                <w14:ligatures w14:val="standardContextual"/>
              </w:rPr>
              <w:tab/>
            </w:r>
            <w:r w:rsidRPr="00651E8E">
              <w:rPr>
                <w:rStyle w:val="Hyperlink"/>
                <w:noProof/>
                <w:lang w:val="en-IE"/>
              </w:rPr>
              <w:t>Visuals</w:t>
            </w:r>
            <w:r>
              <w:rPr>
                <w:noProof/>
                <w:webHidden/>
              </w:rPr>
              <w:tab/>
            </w:r>
            <w:r>
              <w:rPr>
                <w:noProof/>
                <w:webHidden/>
              </w:rPr>
              <w:fldChar w:fldCharType="begin"/>
            </w:r>
            <w:r>
              <w:rPr>
                <w:noProof/>
                <w:webHidden/>
              </w:rPr>
              <w:instrText xml:space="preserve"> PAGEREF _Toc221633825 \h </w:instrText>
            </w:r>
            <w:r>
              <w:rPr>
                <w:noProof/>
                <w:webHidden/>
              </w:rPr>
            </w:r>
            <w:r>
              <w:rPr>
                <w:noProof/>
                <w:webHidden/>
              </w:rPr>
              <w:fldChar w:fldCharType="separate"/>
            </w:r>
            <w:r>
              <w:rPr>
                <w:noProof/>
                <w:webHidden/>
              </w:rPr>
              <w:t>14</w:t>
            </w:r>
            <w:r>
              <w:rPr>
                <w:noProof/>
                <w:webHidden/>
              </w:rPr>
              <w:fldChar w:fldCharType="end"/>
            </w:r>
          </w:hyperlink>
        </w:p>
        <w:p w14:paraId="54111C76" w14:textId="09786B95" w:rsidR="00BA69D2" w:rsidRDefault="00BA69D2">
          <w:pPr>
            <w:pStyle w:val="TOC2"/>
            <w:tabs>
              <w:tab w:val="left" w:pos="960"/>
              <w:tab w:val="right" w:leader="dot" w:pos="9016"/>
            </w:tabs>
            <w:rPr>
              <w:rFonts w:asciiTheme="minorHAnsi" w:eastAsiaTheme="minorEastAsia" w:hAnsiTheme="minorHAnsi" w:cstheme="minorBidi"/>
              <w:noProof/>
              <w:kern w:val="2"/>
              <w:lang w:val="en-IE" w:eastAsia="en-IE"/>
              <w14:ligatures w14:val="standardContextual"/>
            </w:rPr>
          </w:pPr>
          <w:hyperlink w:anchor="_Toc221633826" w:history="1">
            <w:r w:rsidRPr="00651E8E">
              <w:rPr>
                <w:rStyle w:val="Hyperlink"/>
                <w:noProof/>
                <w:lang w:val="en-IE"/>
              </w:rPr>
              <w:t>4.1.</w:t>
            </w:r>
            <w:r>
              <w:rPr>
                <w:rFonts w:asciiTheme="minorHAnsi" w:eastAsiaTheme="minorEastAsia" w:hAnsiTheme="minorHAnsi" w:cstheme="minorBidi"/>
                <w:noProof/>
                <w:kern w:val="2"/>
                <w:lang w:val="en-IE" w:eastAsia="en-IE"/>
                <w14:ligatures w14:val="standardContextual"/>
              </w:rPr>
              <w:tab/>
            </w:r>
            <w:r w:rsidRPr="00651E8E">
              <w:rPr>
                <w:rStyle w:val="Hyperlink"/>
                <w:noProof/>
                <w:lang w:val="en-IE"/>
              </w:rPr>
              <w:t>Visual 1 - College Green</w:t>
            </w:r>
            <w:r>
              <w:rPr>
                <w:noProof/>
                <w:webHidden/>
              </w:rPr>
              <w:tab/>
            </w:r>
            <w:r>
              <w:rPr>
                <w:noProof/>
                <w:webHidden/>
              </w:rPr>
              <w:fldChar w:fldCharType="begin"/>
            </w:r>
            <w:r>
              <w:rPr>
                <w:noProof/>
                <w:webHidden/>
              </w:rPr>
              <w:instrText xml:space="preserve"> PAGEREF _Toc221633826 \h </w:instrText>
            </w:r>
            <w:r>
              <w:rPr>
                <w:noProof/>
                <w:webHidden/>
              </w:rPr>
            </w:r>
            <w:r>
              <w:rPr>
                <w:noProof/>
                <w:webHidden/>
              </w:rPr>
              <w:fldChar w:fldCharType="separate"/>
            </w:r>
            <w:r>
              <w:rPr>
                <w:noProof/>
                <w:webHidden/>
              </w:rPr>
              <w:t>14</w:t>
            </w:r>
            <w:r>
              <w:rPr>
                <w:noProof/>
                <w:webHidden/>
              </w:rPr>
              <w:fldChar w:fldCharType="end"/>
            </w:r>
          </w:hyperlink>
        </w:p>
        <w:p w14:paraId="2F7DC9B0" w14:textId="57AEA03E" w:rsidR="00BA69D2" w:rsidRDefault="00BA69D2">
          <w:pPr>
            <w:pStyle w:val="TOC2"/>
            <w:tabs>
              <w:tab w:val="left" w:pos="960"/>
              <w:tab w:val="right" w:leader="dot" w:pos="9016"/>
            </w:tabs>
            <w:rPr>
              <w:rFonts w:asciiTheme="minorHAnsi" w:eastAsiaTheme="minorEastAsia" w:hAnsiTheme="minorHAnsi" w:cstheme="minorBidi"/>
              <w:noProof/>
              <w:kern w:val="2"/>
              <w:lang w:val="en-IE" w:eastAsia="en-IE"/>
              <w14:ligatures w14:val="standardContextual"/>
            </w:rPr>
          </w:pPr>
          <w:hyperlink w:anchor="_Toc221633827" w:history="1">
            <w:r w:rsidRPr="00651E8E">
              <w:rPr>
                <w:rStyle w:val="Hyperlink"/>
                <w:noProof/>
                <w:lang w:val="en-IE"/>
              </w:rPr>
              <w:t>4.2.</w:t>
            </w:r>
            <w:r>
              <w:rPr>
                <w:rFonts w:asciiTheme="minorHAnsi" w:eastAsiaTheme="minorEastAsia" w:hAnsiTheme="minorHAnsi" w:cstheme="minorBidi"/>
                <w:noProof/>
                <w:kern w:val="2"/>
                <w:lang w:val="en-IE" w:eastAsia="en-IE"/>
                <w14:ligatures w14:val="standardContextual"/>
              </w:rPr>
              <w:tab/>
            </w:r>
            <w:r w:rsidRPr="00651E8E">
              <w:rPr>
                <w:rStyle w:val="Hyperlink"/>
                <w:noProof/>
                <w:lang w:val="en-IE"/>
              </w:rPr>
              <w:t>Visual 2 - College Green</w:t>
            </w:r>
            <w:r>
              <w:rPr>
                <w:noProof/>
                <w:webHidden/>
              </w:rPr>
              <w:tab/>
            </w:r>
            <w:r>
              <w:rPr>
                <w:noProof/>
                <w:webHidden/>
              </w:rPr>
              <w:fldChar w:fldCharType="begin"/>
            </w:r>
            <w:r>
              <w:rPr>
                <w:noProof/>
                <w:webHidden/>
              </w:rPr>
              <w:instrText xml:space="preserve"> PAGEREF _Toc221633827 \h </w:instrText>
            </w:r>
            <w:r>
              <w:rPr>
                <w:noProof/>
                <w:webHidden/>
              </w:rPr>
            </w:r>
            <w:r>
              <w:rPr>
                <w:noProof/>
                <w:webHidden/>
              </w:rPr>
              <w:fldChar w:fldCharType="separate"/>
            </w:r>
            <w:r>
              <w:rPr>
                <w:noProof/>
                <w:webHidden/>
              </w:rPr>
              <w:t>15</w:t>
            </w:r>
            <w:r>
              <w:rPr>
                <w:noProof/>
                <w:webHidden/>
              </w:rPr>
              <w:fldChar w:fldCharType="end"/>
            </w:r>
          </w:hyperlink>
        </w:p>
        <w:p w14:paraId="07AF3138" w14:textId="63400CD9" w:rsidR="00BA69D2" w:rsidRDefault="00BA69D2">
          <w:pPr>
            <w:pStyle w:val="TOC2"/>
            <w:tabs>
              <w:tab w:val="left" w:pos="960"/>
              <w:tab w:val="right" w:leader="dot" w:pos="9016"/>
            </w:tabs>
            <w:rPr>
              <w:rFonts w:asciiTheme="minorHAnsi" w:eastAsiaTheme="minorEastAsia" w:hAnsiTheme="minorHAnsi" w:cstheme="minorBidi"/>
              <w:noProof/>
              <w:kern w:val="2"/>
              <w:lang w:val="en-IE" w:eastAsia="en-IE"/>
              <w14:ligatures w14:val="standardContextual"/>
            </w:rPr>
          </w:pPr>
          <w:hyperlink w:anchor="_Toc221633828" w:history="1">
            <w:r w:rsidRPr="00651E8E">
              <w:rPr>
                <w:rStyle w:val="Hyperlink"/>
                <w:noProof/>
                <w:lang w:val="en-IE"/>
              </w:rPr>
              <w:t>4.3.</w:t>
            </w:r>
            <w:r>
              <w:rPr>
                <w:rFonts w:asciiTheme="minorHAnsi" w:eastAsiaTheme="minorEastAsia" w:hAnsiTheme="minorHAnsi" w:cstheme="minorBidi"/>
                <w:noProof/>
                <w:kern w:val="2"/>
                <w:lang w:val="en-IE" w:eastAsia="en-IE"/>
                <w14:ligatures w14:val="standardContextual"/>
              </w:rPr>
              <w:tab/>
            </w:r>
            <w:r w:rsidRPr="00651E8E">
              <w:rPr>
                <w:rStyle w:val="Hyperlink"/>
                <w:noProof/>
                <w:lang w:val="en-IE"/>
              </w:rPr>
              <w:t>Visual 3 - College Green</w:t>
            </w:r>
            <w:r>
              <w:rPr>
                <w:noProof/>
                <w:webHidden/>
              </w:rPr>
              <w:tab/>
            </w:r>
            <w:r>
              <w:rPr>
                <w:noProof/>
                <w:webHidden/>
              </w:rPr>
              <w:fldChar w:fldCharType="begin"/>
            </w:r>
            <w:r>
              <w:rPr>
                <w:noProof/>
                <w:webHidden/>
              </w:rPr>
              <w:instrText xml:space="preserve"> PAGEREF _Toc221633828 \h </w:instrText>
            </w:r>
            <w:r>
              <w:rPr>
                <w:noProof/>
                <w:webHidden/>
              </w:rPr>
            </w:r>
            <w:r>
              <w:rPr>
                <w:noProof/>
                <w:webHidden/>
              </w:rPr>
              <w:fldChar w:fldCharType="separate"/>
            </w:r>
            <w:r>
              <w:rPr>
                <w:noProof/>
                <w:webHidden/>
              </w:rPr>
              <w:t>15</w:t>
            </w:r>
            <w:r>
              <w:rPr>
                <w:noProof/>
                <w:webHidden/>
              </w:rPr>
              <w:fldChar w:fldCharType="end"/>
            </w:r>
          </w:hyperlink>
        </w:p>
        <w:p w14:paraId="66FFE15F" w14:textId="62369915" w:rsidR="00BA69D2" w:rsidRDefault="00BA69D2">
          <w:pPr>
            <w:pStyle w:val="TOC2"/>
            <w:tabs>
              <w:tab w:val="left" w:pos="960"/>
              <w:tab w:val="right" w:leader="dot" w:pos="9016"/>
            </w:tabs>
            <w:rPr>
              <w:rFonts w:asciiTheme="minorHAnsi" w:eastAsiaTheme="minorEastAsia" w:hAnsiTheme="minorHAnsi" w:cstheme="minorBidi"/>
              <w:noProof/>
              <w:kern w:val="2"/>
              <w:lang w:val="en-IE" w:eastAsia="en-IE"/>
              <w14:ligatures w14:val="standardContextual"/>
            </w:rPr>
          </w:pPr>
          <w:hyperlink w:anchor="_Toc221633829" w:history="1">
            <w:r w:rsidRPr="00651E8E">
              <w:rPr>
                <w:rStyle w:val="Hyperlink"/>
                <w:noProof/>
                <w:lang w:val="en-IE"/>
              </w:rPr>
              <w:t>4.4.</w:t>
            </w:r>
            <w:r>
              <w:rPr>
                <w:rFonts w:asciiTheme="minorHAnsi" w:eastAsiaTheme="minorEastAsia" w:hAnsiTheme="minorHAnsi" w:cstheme="minorBidi"/>
                <w:noProof/>
                <w:kern w:val="2"/>
                <w:lang w:val="en-IE" w:eastAsia="en-IE"/>
                <w14:ligatures w14:val="standardContextual"/>
              </w:rPr>
              <w:tab/>
            </w:r>
            <w:r w:rsidRPr="00651E8E">
              <w:rPr>
                <w:rStyle w:val="Hyperlink"/>
                <w:noProof/>
                <w:lang w:val="en-IE"/>
              </w:rPr>
              <w:t>Visual 4 - Dame Street</w:t>
            </w:r>
            <w:r>
              <w:rPr>
                <w:noProof/>
                <w:webHidden/>
              </w:rPr>
              <w:tab/>
            </w:r>
            <w:r>
              <w:rPr>
                <w:noProof/>
                <w:webHidden/>
              </w:rPr>
              <w:fldChar w:fldCharType="begin"/>
            </w:r>
            <w:r>
              <w:rPr>
                <w:noProof/>
                <w:webHidden/>
              </w:rPr>
              <w:instrText xml:space="preserve"> PAGEREF _Toc221633829 \h </w:instrText>
            </w:r>
            <w:r>
              <w:rPr>
                <w:noProof/>
                <w:webHidden/>
              </w:rPr>
            </w:r>
            <w:r>
              <w:rPr>
                <w:noProof/>
                <w:webHidden/>
              </w:rPr>
              <w:fldChar w:fldCharType="separate"/>
            </w:r>
            <w:r>
              <w:rPr>
                <w:noProof/>
                <w:webHidden/>
              </w:rPr>
              <w:t>16</w:t>
            </w:r>
            <w:r>
              <w:rPr>
                <w:noProof/>
                <w:webHidden/>
              </w:rPr>
              <w:fldChar w:fldCharType="end"/>
            </w:r>
          </w:hyperlink>
        </w:p>
        <w:p w14:paraId="0175E3EA" w14:textId="67419BB9" w:rsidR="00BA69D2" w:rsidRDefault="00BA69D2">
          <w:pPr>
            <w:pStyle w:val="TOC2"/>
            <w:tabs>
              <w:tab w:val="left" w:pos="960"/>
              <w:tab w:val="right" w:leader="dot" w:pos="9016"/>
            </w:tabs>
            <w:rPr>
              <w:rFonts w:asciiTheme="minorHAnsi" w:eastAsiaTheme="minorEastAsia" w:hAnsiTheme="minorHAnsi" w:cstheme="minorBidi"/>
              <w:noProof/>
              <w:kern w:val="2"/>
              <w:lang w:val="en-IE" w:eastAsia="en-IE"/>
              <w14:ligatures w14:val="standardContextual"/>
            </w:rPr>
          </w:pPr>
          <w:hyperlink w:anchor="_Toc221633830" w:history="1">
            <w:r w:rsidRPr="00651E8E">
              <w:rPr>
                <w:rStyle w:val="Hyperlink"/>
                <w:noProof/>
                <w:lang w:val="en-IE"/>
              </w:rPr>
              <w:t>4.5.</w:t>
            </w:r>
            <w:r>
              <w:rPr>
                <w:rFonts w:asciiTheme="minorHAnsi" w:eastAsiaTheme="minorEastAsia" w:hAnsiTheme="minorHAnsi" w:cstheme="minorBidi"/>
                <w:noProof/>
                <w:kern w:val="2"/>
                <w:lang w:val="en-IE" w:eastAsia="en-IE"/>
                <w14:ligatures w14:val="standardContextual"/>
              </w:rPr>
              <w:tab/>
            </w:r>
            <w:r w:rsidRPr="00651E8E">
              <w:rPr>
                <w:rStyle w:val="Hyperlink"/>
                <w:noProof/>
                <w:lang w:val="en-IE"/>
              </w:rPr>
              <w:t>Visual 5 - Dame Street</w:t>
            </w:r>
            <w:r>
              <w:rPr>
                <w:noProof/>
                <w:webHidden/>
              </w:rPr>
              <w:tab/>
            </w:r>
            <w:r>
              <w:rPr>
                <w:noProof/>
                <w:webHidden/>
              </w:rPr>
              <w:fldChar w:fldCharType="begin"/>
            </w:r>
            <w:r>
              <w:rPr>
                <w:noProof/>
                <w:webHidden/>
              </w:rPr>
              <w:instrText xml:space="preserve"> PAGEREF _Toc221633830 \h </w:instrText>
            </w:r>
            <w:r>
              <w:rPr>
                <w:noProof/>
                <w:webHidden/>
              </w:rPr>
            </w:r>
            <w:r>
              <w:rPr>
                <w:noProof/>
                <w:webHidden/>
              </w:rPr>
              <w:fldChar w:fldCharType="separate"/>
            </w:r>
            <w:r>
              <w:rPr>
                <w:noProof/>
                <w:webHidden/>
              </w:rPr>
              <w:t>16</w:t>
            </w:r>
            <w:r>
              <w:rPr>
                <w:noProof/>
                <w:webHidden/>
              </w:rPr>
              <w:fldChar w:fldCharType="end"/>
            </w:r>
          </w:hyperlink>
        </w:p>
        <w:p w14:paraId="10E8E1D6" w14:textId="22B538CA" w:rsidR="00C227ED" w:rsidRPr="008A5BA2" w:rsidRDefault="00C93E83" w:rsidP="007B5928">
          <w:pPr>
            <w:rPr>
              <w:lang w:val="en-IE"/>
            </w:rPr>
          </w:pPr>
          <w:r w:rsidRPr="008A5BA2">
            <w:rPr>
              <w:lang w:val="en-IE"/>
            </w:rPr>
            <w:fldChar w:fldCharType="end"/>
          </w:r>
        </w:p>
      </w:sdtContent>
    </w:sdt>
    <w:bookmarkEnd w:id="0" w:displacedByCustomXml="prev"/>
    <w:p w14:paraId="358EF8DE" w14:textId="77777777" w:rsidR="00C227ED" w:rsidRPr="008A5BA2" w:rsidRDefault="00C227ED" w:rsidP="007B5928">
      <w:pPr>
        <w:rPr>
          <w:lang w:val="en-IE"/>
        </w:rPr>
      </w:pPr>
    </w:p>
    <w:p w14:paraId="744B9AFC" w14:textId="77777777" w:rsidR="00C227ED" w:rsidRPr="008A5BA2" w:rsidRDefault="00C227ED" w:rsidP="007B5928">
      <w:pPr>
        <w:rPr>
          <w:lang w:val="en-IE"/>
        </w:rPr>
      </w:pPr>
    </w:p>
    <w:p w14:paraId="24AD25A8" w14:textId="77777777" w:rsidR="005764B0" w:rsidRPr="00044A29" w:rsidRDefault="005764B0" w:rsidP="00044A29">
      <w:pPr>
        <w:rPr>
          <w:lang w:val="en-IE"/>
        </w:rPr>
      </w:pPr>
    </w:p>
    <w:p w14:paraId="3861D158" w14:textId="2E3CBC16" w:rsidR="002C60FA" w:rsidRDefault="002C60FA" w:rsidP="002C60FA">
      <w:pPr>
        <w:rPr>
          <w:lang w:val="en-IE"/>
        </w:rPr>
      </w:pPr>
    </w:p>
    <w:p w14:paraId="49E2A6FF" w14:textId="77777777" w:rsidR="002C60FA" w:rsidRPr="002C60FA" w:rsidRDefault="002C60FA" w:rsidP="002C60FA">
      <w:pPr>
        <w:rPr>
          <w:lang w:val="en-IE"/>
        </w:rPr>
      </w:pPr>
    </w:p>
    <w:p w14:paraId="02E9967E" w14:textId="77777777" w:rsidR="002C60FA" w:rsidRDefault="002C60FA" w:rsidP="002C60FA">
      <w:pPr>
        <w:rPr>
          <w:lang w:val="en-IE"/>
        </w:rPr>
      </w:pPr>
    </w:p>
    <w:p w14:paraId="2039522A" w14:textId="77777777" w:rsidR="002C60FA" w:rsidRPr="002C60FA" w:rsidRDefault="002C60FA" w:rsidP="002C60FA">
      <w:pPr>
        <w:rPr>
          <w:lang w:val="en-IE"/>
        </w:rPr>
      </w:pPr>
    </w:p>
    <w:p w14:paraId="57F3197F" w14:textId="3B7355A8" w:rsidR="00F304E0" w:rsidRPr="004A34B2" w:rsidRDefault="00F304E0" w:rsidP="00CB5F1C">
      <w:pPr>
        <w:rPr>
          <w:lang w:val="en-IE"/>
        </w:rPr>
      </w:pPr>
      <w:r w:rsidRPr="004A34B2">
        <w:rPr>
          <w:lang w:val="en-IE"/>
        </w:rPr>
        <w:br w:type="page"/>
      </w:r>
    </w:p>
    <w:p w14:paraId="21A6606E" w14:textId="39423C7A" w:rsidR="008C66DC" w:rsidRDefault="008C66DC" w:rsidP="008C66DC">
      <w:pPr>
        <w:rPr>
          <w:lang w:val="en-IE"/>
        </w:rPr>
      </w:pPr>
      <w:r>
        <w:rPr>
          <w:lang w:val="en-IE"/>
        </w:rPr>
        <w:lastRenderedPageBreak/>
        <w:t>Page 4</w:t>
      </w:r>
    </w:p>
    <w:p w14:paraId="331793F0" w14:textId="77777777" w:rsidR="008C66DC" w:rsidRPr="008C66DC" w:rsidRDefault="008C66DC" w:rsidP="008C66DC">
      <w:pPr>
        <w:rPr>
          <w:lang w:val="en-IE"/>
        </w:rPr>
      </w:pPr>
    </w:p>
    <w:p w14:paraId="4325CCC4" w14:textId="119A0FB6" w:rsidR="00D8097C" w:rsidRPr="008A5BA2" w:rsidRDefault="00A979E7" w:rsidP="008E4216">
      <w:pPr>
        <w:pStyle w:val="Heading1"/>
        <w:rPr>
          <w:lang w:val="en-IE"/>
        </w:rPr>
      </w:pPr>
      <w:bookmarkStart w:id="1" w:name="_Toc221633817"/>
      <w:r>
        <w:t>Proposed</w:t>
      </w:r>
      <w:r w:rsidR="005765D6">
        <w:t xml:space="preserve"> Plan</w:t>
      </w:r>
      <w:r>
        <w:t xml:space="preserve"> Drawing</w:t>
      </w:r>
      <w:bookmarkEnd w:id="1"/>
    </w:p>
    <w:p w14:paraId="161C78CE" w14:textId="77777777" w:rsidR="00940792" w:rsidRDefault="00023470" w:rsidP="00023470">
      <w:pPr>
        <w:rPr>
          <w:lang w:val="en-IE"/>
        </w:rPr>
      </w:pPr>
      <w:bookmarkStart w:id="2" w:name="_Hlk221608367"/>
      <w:r>
        <w:rPr>
          <w:lang w:val="en-IE"/>
        </w:rPr>
        <w:t xml:space="preserve">Image displayed: </w:t>
      </w:r>
      <w:r w:rsidRPr="002C7C90">
        <w:rPr>
          <w:lang w:val="en-IE"/>
        </w:rPr>
        <w:t>The image is a</w:t>
      </w:r>
      <w:r>
        <w:rPr>
          <w:lang w:val="en-IE"/>
        </w:rPr>
        <w:t xml:space="preserve">n illustrative plan </w:t>
      </w:r>
      <w:r w:rsidRPr="002C7C90">
        <w:rPr>
          <w:lang w:val="en-IE"/>
        </w:rPr>
        <w:t xml:space="preserve">looking directly down on the </w:t>
      </w:r>
      <w:r>
        <w:rPr>
          <w:lang w:val="en-IE"/>
        </w:rPr>
        <w:t>Grow College Green</w:t>
      </w:r>
      <w:r w:rsidRPr="002C7C90">
        <w:rPr>
          <w:lang w:val="en-IE"/>
        </w:rPr>
        <w:t xml:space="preserve"> project area</w:t>
      </w:r>
      <w:r>
        <w:rPr>
          <w:lang w:val="en-IE"/>
        </w:rPr>
        <w:t>, which extends from Trinity College to George’s St Junction, and includes the streets immediately to the north and south of this area</w:t>
      </w:r>
      <w:r w:rsidRPr="002C7C90">
        <w:rPr>
          <w:lang w:val="en-IE"/>
        </w:rPr>
        <w:t xml:space="preserve">. The </w:t>
      </w:r>
      <w:r>
        <w:rPr>
          <w:lang w:val="en-IE"/>
        </w:rPr>
        <w:t>drawing</w:t>
      </w:r>
      <w:r w:rsidRPr="002C7C90">
        <w:rPr>
          <w:lang w:val="en-IE"/>
        </w:rPr>
        <w:t xml:space="preserve"> is orientated with north at the top of the image.  The drawing presents the </w:t>
      </w:r>
      <w:r>
        <w:rPr>
          <w:lang w:val="en-IE"/>
        </w:rPr>
        <w:t xml:space="preserve">Proposed Pre-planning </w:t>
      </w:r>
      <w:r w:rsidRPr="002C7C90">
        <w:rPr>
          <w:lang w:val="en-IE"/>
        </w:rPr>
        <w:t xml:space="preserve">Design </w:t>
      </w:r>
      <w:r>
        <w:rPr>
          <w:lang w:val="en-IE"/>
        </w:rPr>
        <w:t xml:space="preserve">presented </w:t>
      </w:r>
      <w:r w:rsidRPr="002C7C90">
        <w:rPr>
          <w:lang w:val="en-IE"/>
        </w:rPr>
        <w:t xml:space="preserve">for public </w:t>
      </w:r>
      <w:r>
        <w:rPr>
          <w:lang w:val="en-IE"/>
        </w:rPr>
        <w:t>consultation</w:t>
      </w:r>
      <w:r w:rsidRPr="002C7C90">
        <w:rPr>
          <w:lang w:val="en-IE"/>
        </w:rPr>
        <w:t xml:space="preserve">. The </w:t>
      </w:r>
      <w:r>
        <w:rPr>
          <w:lang w:val="en-IE"/>
        </w:rPr>
        <w:t>buildings</w:t>
      </w:r>
      <w:r w:rsidRPr="002C7C90">
        <w:rPr>
          <w:lang w:val="en-IE"/>
        </w:rPr>
        <w:t xml:space="preserve"> beyond the project area </w:t>
      </w:r>
      <w:r>
        <w:rPr>
          <w:lang w:val="en-IE"/>
        </w:rPr>
        <w:t>are</w:t>
      </w:r>
      <w:r w:rsidRPr="002C7C90">
        <w:rPr>
          <w:lang w:val="en-IE"/>
        </w:rPr>
        <w:t xml:space="preserve"> depicted as white forms </w:t>
      </w:r>
      <w:r>
        <w:rPr>
          <w:lang w:val="en-IE"/>
        </w:rPr>
        <w:t>surrounding grey streets and laneways. The p</w:t>
      </w:r>
      <w:r w:rsidRPr="002C7C90">
        <w:rPr>
          <w:lang w:val="en-IE"/>
        </w:rPr>
        <w:t xml:space="preserve">ublic realm </w:t>
      </w:r>
      <w:r>
        <w:rPr>
          <w:lang w:val="en-IE"/>
        </w:rPr>
        <w:t xml:space="preserve">within the project area </w:t>
      </w:r>
      <w:r w:rsidRPr="002C7C90">
        <w:rPr>
          <w:lang w:val="en-IE"/>
        </w:rPr>
        <w:t xml:space="preserve">is accentuated with colour </w:t>
      </w:r>
      <w:r>
        <w:rPr>
          <w:lang w:val="en-IE"/>
        </w:rPr>
        <w:t>and textures suggesting greenery, paving and pathways.</w:t>
      </w:r>
    </w:p>
    <w:p w14:paraId="32D9AD10" w14:textId="77777777" w:rsidR="006306FE" w:rsidRDefault="006306FE" w:rsidP="00023470">
      <w:pPr>
        <w:rPr>
          <w:lang w:val="en-IE"/>
        </w:rPr>
      </w:pPr>
    </w:p>
    <w:p w14:paraId="66F9585B" w14:textId="673110A7" w:rsidR="006306FE" w:rsidRDefault="006306FE" w:rsidP="00023470">
      <w:pPr>
        <w:rPr>
          <w:lang w:val="en-IE"/>
        </w:rPr>
      </w:pPr>
      <w:r>
        <w:rPr>
          <w:lang w:val="en-IE"/>
        </w:rPr>
        <w:t xml:space="preserve">A numeric legend identifies key features of the Pre-planning Design; 1. Civic Space, 2. </w:t>
      </w:r>
      <w:r w:rsidR="0022071A">
        <w:rPr>
          <w:lang w:val="en-IE"/>
        </w:rPr>
        <w:t xml:space="preserve">Trinity Crossing, 3. Henry Grattan Statue, 4. Access Route, 5. Artistic Water Feature, 6. Seating Area, 7. Widened Footpath, 8. Open Space, 9. Thomas Davis Statue &amp; memorial Fountain, 10. Crossing Points, 11. Seating, 12. </w:t>
      </w:r>
      <w:r w:rsidR="0016015E">
        <w:rPr>
          <w:lang w:val="en-IE"/>
        </w:rPr>
        <w:t>Activity Area/Pocket Space, 13. Planted Area, 14. Open Lawn, 15. Rain Garden. These key features of the Pre-planning Design are placed throughout the project area and will be located as the description moves through each space.</w:t>
      </w:r>
    </w:p>
    <w:p w14:paraId="5D70AF5E" w14:textId="77777777" w:rsidR="00940792" w:rsidRDefault="00940792" w:rsidP="00023470">
      <w:pPr>
        <w:rPr>
          <w:lang w:val="en-IE"/>
        </w:rPr>
      </w:pPr>
    </w:p>
    <w:p w14:paraId="67591736" w14:textId="77777777" w:rsidR="00940792" w:rsidRDefault="00023470" w:rsidP="00023470">
      <w:pPr>
        <w:rPr>
          <w:lang w:val="en-IE"/>
        </w:rPr>
      </w:pPr>
      <w:r>
        <w:rPr>
          <w:lang w:val="en-IE"/>
        </w:rPr>
        <w:t>Beginning on the left-hand side of the drawing, at the George’ Street junction with Dame Street,</w:t>
      </w:r>
      <w:r w:rsidRPr="002C7C90">
        <w:rPr>
          <w:lang w:val="en-IE"/>
        </w:rPr>
        <w:t xml:space="preserve"> a vibrant green corridor of trees and planting </w:t>
      </w:r>
      <w:r>
        <w:rPr>
          <w:lang w:val="en-IE"/>
        </w:rPr>
        <w:t>extends up the centre of</w:t>
      </w:r>
      <w:r w:rsidRPr="002C7C90">
        <w:rPr>
          <w:lang w:val="en-IE"/>
        </w:rPr>
        <w:t xml:space="preserve"> Dame Street</w:t>
      </w:r>
      <w:r>
        <w:rPr>
          <w:lang w:val="en-IE"/>
        </w:rPr>
        <w:t>. Generous footpaths align the buildings on either side of the</w:t>
      </w:r>
      <w:r w:rsidRPr="002C7C90">
        <w:rPr>
          <w:lang w:val="en-IE"/>
        </w:rPr>
        <w:t xml:space="preserve"> corridor</w:t>
      </w:r>
      <w:r>
        <w:rPr>
          <w:lang w:val="en-IE"/>
        </w:rPr>
        <w:t>; the green corridor shows a variety of planting types, sizes and textures suggesting a diverse selection of trees, low level planting and grasses; a blue line weaves along the planting and pavement of the green corridor eastwards showing how water is playfully incorporated into the landscape design; a segregated access route for loading vehicles and cyclists runs along the south edge of the greenery. There are evenly spaced pedestrian crossing points on this access route at points corresponding to locations with significant north-south pedestrian movement.</w:t>
      </w:r>
    </w:p>
    <w:p w14:paraId="21CCD1E9" w14:textId="77777777" w:rsidR="00940792" w:rsidRDefault="00940792" w:rsidP="00023470">
      <w:pPr>
        <w:rPr>
          <w:lang w:val="en-IE"/>
        </w:rPr>
      </w:pPr>
    </w:p>
    <w:p w14:paraId="0E13E28D" w14:textId="5FDC4EED" w:rsidR="00023470" w:rsidRDefault="00023470" w:rsidP="00023470">
      <w:pPr>
        <w:rPr>
          <w:lang w:val="en-IE"/>
        </w:rPr>
      </w:pPr>
      <w:r>
        <w:rPr>
          <w:lang w:val="en-IE"/>
        </w:rPr>
        <w:t>Moving eastwards to the centre of the image, th</w:t>
      </w:r>
      <w:r w:rsidRPr="002C7C90">
        <w:rPr>
          <w:lang w:val="en-IE"/>
        </w:rPr>
        <w:t xml:space="preserve">e end of the green corridor is punctuated by an </w:t>
      </w:r>
      <w:r>
        <w:rPr>
          <w:lang w:val="en-IE"/>
        </w:rPr>
        <w:t xml:space="preserve">open space which spans between Anglesea Street and </w:t>
      </w:r>
      <w:r w:rsidRPr="002C7C90">
        <w:rPr>
          <w:lang w:val="en-IE"/>
        </w:rPr>
        <w:t xml:space="preserve">the bottom of Church Lane and </w:t>
      </w:r>
      <w:r>
        <w:rPr>
          <w:lang w:val="en-IE"/>
        </w:rPr>
        <w:t xml:space="preserve">the </w:t>
      </w:r>
      <w:r w:rsidRPr="002C7C90">
        <w:rPr>
          <w:lang w:val="en-IE"/>
        </w:rPr>
        <w:t>entrance to Foster Place</w:t>
      </w:r>
      <w:r>
        <w:rPr>
          <w:lang w:val="en-IE"/>
        </w:rPr>
        <w:t>. The Thomas Davis Memorial is proposed for relocation to this space, free from its previously trafficked surrounds and prominently marking the beginning of College Green</w:t>
      </w:r>
      <w:r w:rsidRPr="002C7C90">
        <w:rPr>
          <w:lang w:val="en-IE"/>
        </w:rPr>
        <w:t xml:space="preserve">; </w:t>
      </w:r>
      <w:r>
        <w:rPr>
          <w:lang w:val="en-IE"/>
        </w:rPr>
        <w:t>pedestrians can approach the statue and interact with it in a way that was not previously possible. The weaving in-ground water feature along Dame Street culminates at a suggested arrangement of water jets and a circular reflecting pool at the crossing point of Foster Place/Church Lane and College Green, a dynamic interactive feature to encouraging interaction and play, a meeting point.</w:t>
      </w:r>
    </w:p>
    <w:p w14:paraId="56C1AACB" w14:textId="77777777" w:rsidR="00023470" w:rsidRDefault="00023470">
      <w:pPr>
        <w:widowControl/>
        <w:tabs>
          <w:tab w:val="clear" w:pos="2820"/>
        </w:tabs>
        <w:autoSpaceDE/>
        <w:autoSpaceDN/>
        <w:spacing w:after="160" w:line="259" w:lineRule="auto"/>
        <w:jc w:val="left"/>
        <w:rPr>
          <w:lang w:val="en-IE"/>
        </w:rPr>
      </w:pPr>
      <w:r>
        <w:rPr>
          <w:lang w:val="en-IE"/>
        </w:rPr>
        <w:br w:type="page"/>
      </w:r>
    </w:p>
    <w:p w14:paraId="6C95A771" w14:textId="651ACE49" w:rsidR="008C66DC" w:rsidRDefault="00DE1C30" w:rsidP="00023470">
      <w:pPr>
        <w:rPr>
          <w:lang w:val="en-IE"/>
        </w:rPr>
      </w:pPr>
      <w:r>
        <w:rPr>
          <w:lang w:val="en-IE"/>
        </w:rPr>
        <w:t>Page 5</w:t>
      </w:r>
    </w:p>
    <w:p w14:paraId="5E34FD88" w14:textId="77777777" w:rsidR="00DE1C30" w:rsidRDefault="00DE1C30" w:rsidP="00023470">
      <w:pPr>
        <w:rPr>
          <w:lang w:val="en-IE"/>
        </w:rPr>
      </w:pPr>
    </w:p>
    <w:p w14:paraId="55D9AC18" w14:textId="71947706" w:rsidR="00023470" w:rsidRDefault="00023470" w:rsidP="00CE50A1">
      <w:pPr>
        <w:rPr>
          <w:lang w:val="en-IE"/>
        </w:rPr>
      </w:pPr>
      <w:r>
        <w:rPr>
          <w:lang w:val="en-IE"/>
        </w:rPr>
        <w:t>The segregated access route that ran along the south side of Dame Street now crosses College Green after the water features to skirt along the historic kerbs of the Bank of Ireland towards Westmoreland Street</w:t>
      </w:r>
      <w:r w:rsidRPr="005C112E">
        <w:rPr>
          <w:lang w:val="en-IE"/>
        </w:rPr>
        <w:t xml:space="preserve">. The entrance to Foster Place framed by existing trees, is redefined and linked to the new public space extending opportunities for café terrace seating, small informal events, or public seating beneath the trees. This aims to draw people into and appreciate the heritage value of Foster Place as an active urban room. To the east </w:t>
      </w:r>
      <w:r>
        <w:rPr>
          <w:lang w:val="en-IE"/>
        </w:rPr>
        <w:t>of the project area and right-hand side of the image, a large open civic space is located in front of the Bank of Ireland and the West Façade of Trinity College Dublin. This public space, previously filled with traffic street clutter and other obstructions, is reimagined as an open place for people to gather, rest and connect. This</w:t>
      </w:r>
      <w:r w:rsidRPr="002C7C90">
        <w:rPr>
          <w:lang w:val="en-IE"/>
        </w:rPr>
        <w:t xml:space="preserve"> public </w:t>
      </w:r>
      <w:r>
        <w:rPr>
          <w:lang w:val="en-IE"/>
        </w:rPr>
        <w:t xml:space="preserve">open </w:t>
      </w:r>
      <w:r w:rsidRPr="002C7C90">
        <w:rPr>
          <w:lang w:val="en-IE"/>
        </w:rPr>
        <w:t xml:space="preserve">space </w:t>
      </w:r>
      <w:r>
        <w:rPr>
          <w:lang w:val="en-IE"/>
        </w:rPr>
        <w:t xml:space="preserve">is uncluttered </w:t>
      </w:r>
      <w:r w:rsidRPr="002C7C90">
        <w:rPr>
          <w:lang w:val="en-IE"/>
        </w:rPr>
        <w:t>for civic expression, movement and events</w:t>
      </w:r>
      <w:r>
        <w:rPr>
          <w:lang w:val="en-IE"/>
        </w:rPr>
        <w:t>. Green planters and public seating line the edge of this space controlling the edges and guiding pedestrian movement. The signalised pedestrian crossing of the Luas line is repositioned to create a direct connection into the Front Arch and ceremonial entrance of Trinity College Dublin; there is raised planter on either side of this crossing before the Luas tracks protecting the public space from the heavily trafficked Lower Grafton Street. S</w:t>
      </w:r>
      <w:r w:rsidRPr="002C7C90">
        <w:rPr>
          <w:lang w:val="en-IE"/>
        </w:rPr>
        <w:t>ide streets to the north of Dame Street (Fownes Street Upper, Cope Street, and Anglesea Street) are shown as part of the wider public realm</w:t>
      </w:r>
      <w:r>
        <w:rPr>
          <w:lang w:val="en-IE"/>
        </w:rPr>
        <w:t xml:space="preserve"> improvements;</w:t>
      </w:r>
      <w:r w:rsidRPr="002C7C90">
        <w:rPr>
          <w:lang w:val="en-IE"/>
        </w:rPr>
        <w:t xml:space="preserve"> side street</w:t>
      </w:r>
      <w:r>
        <w:rPr>
          <w:lang w:val="en-IE"/>
        </w:rPr>
        <w:t>s</w:t>
      </w:r>
      <w:r w:rsidRPr="002C7C90">
        <w:rPr>
          <w:lang w:val="en-IE"/>
        </w:rPr>
        <w:t xml:space="preserve"> to the south</w:t>
      </w:r>
      <w:r>
        <w:rPr>
          <w:lang w:val="en-IE"/>
        </w:rPr>
        <w:t xml:space="preserve"> (</w:t>
      </w:r>
      <w:r w:rsidRPr="002C7C90">
        <w:rPr>
          <w:lang w:val="en-IE"/>
        </w:rPr>
        <w:t>St Andrew’s Street and Trinity Street</w:t>
      </w:r>
      <w:r>
        <w:rPr>
          <w:lang w:val="en-IE"/>
        </w:rPr>
        <w:t>)</w:t>
      </w:r>
      <w:r w:rsidRPr="002C7C90">
        <w:rPr>
          <w:lang w:val="en-IE"/>
        </w:rPr>
        <w:t xml:space="preserve"> feature </w:t>
      </w:r>
      <w:r>
        <w:rPr>
          <w:lang w:val="en-IE"/>
        </w:rPr>
        <w:t>public realm improvements such as tree planting and wider footpaths</w:t>
      </w:r>
      <w:r w:rsidRPr="002C7C90">
        <w:rPr>
          <w:lang w:val="en-IE"/>
        </w:rPr>
        <w:t>. The drawing shows how combined interventions across the project area contribute to creating a vibrant, connected, and resilient public realm at the heart of Dublin Ci</w:t>
      </w:r>
      <w:r>
        <w:rPr>
          <w:lang w:val="en-IE"/>
        </w:rPr>
        <w:t>ty.</w:t>
      </w:r>
      <w:bookmarkEnd w:id="2"/>
      <w:r>
        <w:rPr>
          <w:lang w:val="en-IE"/>
        </w:rPr>
        <w:br w:type="page"/>
      </w:r>
    </w:p>
    <w:p w14:paraId="43A423F9" w14:textId="02F1F400" w:rsidR="008C66DC" w:rsidRDefault="008C66DC" w:rsidP="008C66DC">
      <w:pPr>
        <w:rPr>
          <w:lang w:val="en-IE"/>
        </w:rPr>
      </w:pPr>
      <w:r>
        <w:rPr>
          <w:lang w:val="en-IE"/>
        </w:rPr>
        <w:t>Page 6</w:t>
      </w:r>
    </w:p>
    <w:p w14:paraId="7E2663CF" w14:textId="77777777" w:rsidR="008C66DC" w:rsidRDefault="008C66DC" w:rsidP="008C66DC">
      <w:pPr>
        <w:rPr>
          <w:lang w:val="en-IE"/>
        </w:rPr>
      </w:pPr>
    </w:p>
    <w:p w14:paraId="50EBC65C" w14:textId="47453DBF" w:rsidR="000D0795" w:rsidRDefault="00DB620E" w:rsidP="005765D6">
      <w:pPr>
        <w:pStyle w:val="Heading1"/>
        <w:rPr>
          <w:lang w:val="en-IE"/>
        </w:rPr>
      </w:pPr>
      <w:bookmarkStart w:id="3" w:name="_Toc221633818"/>
      <w:r>
        <w:rPr>
          <w:lang w:val="en-IE"/>
        </w:rPr>
        <w:t>Proposed Access Arrangements</w:t>
      </w:r>
      <w:r w:rsidR="00023470">
        <w:rPr>
          <w:lang w:val="en-IE"/>
        </w:rPr>
        <w:t xml:space="preserve"> Diagrams</w:t>
      </w:r>
      <w:bookmarkEnd w:id="3"/>
    </w:p>
    <w:p w14:paraId="0B76B011" w14:textId="5461719E" w:rsidR="00167855" w:rsidRDefault="00DB620E" w:rsidP="005765D6">
      <w:pPr>
        <w:pStyle w:val="Heading2"/>
        <w:rPr>
          <w:lang w:val="en-IE"/>
        </w:rPr>
      </w:pPr>
      <w:bookmarkStart w:id="4" w:name="_Toc221633819"/>
      <w:r>
        <w:rPr>
          <w:lang w:val="en-IE"/>
        </w:rPr>
        <w:t xml:space="preserve">Proposed </w:t>
      </w:r>
      <w:r w:rsidR="00167855">
        <w:rPr>
          <w:lang w:val="en-IE"/>
        </w:rPr>
        <w:t>Delivery &amp; Servicing Routes (morning period)</w:t>
      </w:r>
      <w:r w:rsidR="00E95644">
        <w:rPr>
          <w:lang w:val="en-IE"/>
        </w:rPr>
        <w:t xml:space="preserve"> Diagram</w:t>
      </w:r>
      <w:bookmarkEnd w:id="4"/>
    </w:p>
    <w:p w14:paraId="6DBD25E9" w14:textId="77777777" w:rsidR="00023470" w:rsidRDefault="00023470" w:rsidP="00734985">
      <w:pPr>
        <w:rPr>
          <w:lang w:val="en-IE"/>
        </w:rPr>
      </w:pPr>
      <w:r w:rsidRPr="00023470">
        <w:rPr>
          <w:lang w:val="en-IE"/>
        </w:rPr>
        <w:t>Image displayed: The image is an illustrative plan of the Grow College Green project area with the Pre-planning Design and surrounding context. The drawing is orientated with north at the top of the image. The drawing is titled ‘Delivery &amp; Servicing Routes (morning period).</w:t>
      </w:r>
      <w:r w:rsidRPr="00023470">
        <w:t xml:space="preserve"> </w:t>
      </w:r>
      <w:r w:rsidRPr="00023470">
        <w:rPr>
          <w:lang w:val="en-IE"/>
        </w:rPr>
        <w:t xml:space="preserve">The project boundary is represented by a thin black dashed line. The streets and space within the project area/boundary are as follows (left to right, west to east); Dame Street (between George’s Street junction to College Green), Foster Place, College Green; north side-streets include Temple Lane South, Cecilia Street, Crow Street, Fownes Street Upper, Cope Street, and Anglesea Street; south side-streets include Trinity Street, St. Andrew’s Street, and Church Lane. Dashed arrows of various colours permeate the streets and spaces within the project area showing how delivery and service vehicles move through the Pre-planning design. A legend identifies which arrows represent which type of movement; a </w:t>
      </w:r>
      <w:r>
        <w:rPr>
          <w:lang w:val="en-IE"/>
        </w:rPr>
        <w:t>thin dashed</w:t>
      </w:r>
      <w:r w:rsidRPr="00023470">
        <w:rPr>
          <w:lang w:val="en-IE"/>
        </w:rPr>
        <w:t xml:space="preserve"> blue line represents the ‘delivery and servicing routes (at defined hours)’; a thin dashed </w:t>
      </w:r>
      <w:r>
        <w:rPr>
          <w:lang w:val="en-IE"/>
        </w:rPr>
        <w:t>purple</w:t>
      </w:r>
      <w:r w:rsidRPr="00023470">
        <w:rPr>
          <w:lang w:val="en-IE"/>
        </w:rPr>
        <w:t xml:space="preserve"> arrow represents the ‘local access (at defined hours)’</w:t>
      </w:r>
      <w:r>
        <w:rPr>
          <w:lang w:val="en-IE"/>
        </w:rPr>
        <w:t>.</w:t>
      </w:r>
    </w:p>
    <w:p w14:paraId="7E58A5DA" w14:textId="77777777" w:rsidR="00023470" w:rsidRDefault="00023470" w:rsidP="00734985">
      <w:pPr>
        <w:rPr>
          <w:lang w:val="en-IE"/>
        </w:rPr>
      </w:pPr>
    </w:p>
    <w:p w14:paraId="5659EE42" w14:textId="1ED7020F" w:rsidR="00023470" w:rsidRPr="00023470" w:rsidRDefault="00023470" w:rsidP="00734985">
      <w:pPr>
        <w:rPr>
          <w:lang w:val="en-IE"/>
        </w:rPr>
      </w:pPr>
      <w:r>
        <w:rPr>
          <w:lang w:val="en-IE"/>
        </w:rPr>
        <w:t xml:space="preserve">Bullet points at the bottom of the legend read: “The intent is to provide a pedestrian priority area from South Great George’s Street to Trinity College, including the adjacent side street. </w:t>
      </w:r>
      <w:r w:rsidR="008E0DAE">
        <w:rPr>
          <w:lang w:val="en-IE"/>
        </w:rPr>
        <w:t>The area will be closed to general traffic in line with the City Centre Transport Plan. The National Transport Authority’s bus network redesign will be rerouting bus routes away from this area. The Grow College Green project will reimagine this space after the buses and traffic are gone. Access for emergency vehicles will be provided at all times. Controlled access, using automated bollards, will be put in place to facilitate restricted local access/servicing and loading within the project area. Times for the morning delivery period will be reviewed.”</w:t>
      </w:r>
    </w:p>
    <w:p w14:paraId="53164F17" w14:textId="77777777" w:rsidR="00023470" w:rsidRPr="00023470" w:rsidRDefault="00023470" w:rsidP="00734985">
      <w:pPr>
        <w:rPr>
          <w:lang w:val="en-IE"/>
        </w:rPr>
      </w:pPr>
    </w:p>
    <w:p w14:paraId="19E4FB87" w14:textId="79852DAB" w:rsidR="008C66DC" w:rsidRDefault="00023470" w:rsidP="00734985">
      <w:pPr>
        <w:rPr>
          <w:lang w:val="en-IE"/>
        </w:rPr>
      </w:pPr>
      <w:r w:rsidRPr="00023470">
        <w:rPr>
          <w:lang w:val="en-IE"/>
        </w:rPr>
        <w:t xml:space="preserve">The </w:t>
      </w:r>
      <w:r w:rsidR="008E0DAE">
        <w:rPr>
          <w:lang w:val="en-IE"/>
        </w:rPr>
        <w:t>thin dashed</w:t>
      </w:r>
      <w:r w:rsidRPr="00023470">
        <w:rPr>
          <w:lang w:val="en-IE"/>
        </w:rPr>
        <w:t xml:space="preserve"> blue arrow will be described from west to east following the general flow of deliveries and services in the morning period. The arrows indicate that the deliveries and services routes are one-way. The deliveries and services route enter the project area at the George’s Street junction moving eastwards along a segregated access route on the south side of Dame Street. At this point deliveries and services can branch out into the north side streets of Temple Lane South, Crow Street, and Fownes Street Upper by crossing the linear green. From these three streets, deliveries and services move through Cecilia Street and Cope Street to Anglesea Street, at which point it exits the project area. On Dame Street, deliveries and services can continue to move eastwards where they can move south to Trinity Street or north to Anglesea Street. Moving into Trinity Street, deliveries and services continue through to St. Andrew’s Street where they exit the project area at the junction of St. Andrew’s Street and Exchequer Street. Deliveries and services can also exit the project area from Trinity Street to access Dame Lane and St. Andrew’s Lane.</w:t>
      </w:r>
    </w:p>
    <w:p w14:paraId="0535FF66" w14:textId="77777777" w:rsidR="008C66DC" w:rsidRDefault="008C66DC">
      <w:pPr>
        <w:widowControl/>
        <w:tabs>
          <w:tab w:val="clear" w:pos="2820"/>
        </w:tabs>
        <w:autoSpaceDE/>
        <w:autoSpaceDN/>
        <w:spacing w:after="160" w:line="259" w:lineRule="auto"/>
        <w:jc w:val="left"/>
        <w:rPr>
          <w:lang w:val="en-IE"/>
        </w:rPr>
      </w:pPr>
      <w:r>
        <w:rPr>
          <w:lang w:val="en-IE"/>
        </w:rPr>
        <w:br w:type="page"/>
      </w:r>
    </w:p>
    <w:p w14:paraId="1FDCED38" w14:textId="79DBBD5A" w:rsidR="00023470" w:rsidRPr="00023470" w:rsidRDefault="008C66DC" w:rsidP="00734985">
      <w:pPr>
        <w:rPr>
          <w:lang w:val="en-IE"/>
        </w:rPr>
      </w:pPr>
      <w:r>
        <w:rPr>
          <w:lang w:val="en-IE"/>
        </w:rPr>
        <w:t>Page 8</w:t>
      </w:r>
    </w:p>
    <w:p w14:paraId="0092192D" w14:textId="77777777" w:rsidR="00023470" w:rsidRPr="00023470" w:rsidRDefault="00023470" w:rsidP="00734985">
      <w:pPr>
        <w:rPr>
          <w:lang w:val="en-IE"/>
        </w:rPr>
      </w:pPr>
    </w:p>
    <w:p w14:paraId="4D79C088" w14:textId="524923AC" w:rsidR="008E0DAE" w:rsidRDefault="00023470" w:rsidP="00734985">
      <w:pPr>
        <w:rPr>
          <w:lang w:val="en-IE"/>
        </w:rPr>
      </w:pPr>
      <w:r w:rsidRPr="00023470">
        <w:rPr>
          <w:lang w:val="en-IE"/>
        </w:rPr>
        <w:t xml:space="preserve">The thin dashed </w:t>
      </w:r>
      <w:r w:rsidR="008E0DAE">
        <w:rPr>
          <w:lang w:val="en-IE"/>
        </w:rPr>
        <w:t>pu</w:t>
      </w:r>
      <w:r w:rsidR="000E45FD">
        <w:rPr>
          <w:lang w:val="en-IE"/>
        </w:rPr>
        <w:t>r</w:t>
      </w:r>
      <w:r w:rsidR="008E0DAE">
        <w:rPr>
          <w:lang w:val="en-IE"/>
        </w:rPr>
        <w:t>ple</w:t>
      </w:r>
      <w:r w:rsidRPr="00023470">
        <w:rPr>
          <w:lang w:val="en-IE"/>
        </w:rPr>
        <w:t xml:space="preserve"> arrow will be described from west to east following the general flow of local access in the morning period. Local access route also enter the project area at the George’s Street junction moving eastwards into Dame Street. The local access route follows the same one-way movement as the deliveries and services route until the junction with Dame Street and Anglesea Street. At this point the local access route becomes two-way so that it can eventually exit the project via Anglesea Street and Fleet Street as with deliveries and </w:t>
      </w:r>
      <w:r w:rsidR="000E45FD" w:rsidRPr="00023470">
        <w:rPr>
          <w:lang w:val="en-IE"/>
        </w:rPr>
        <w:t>services</w:t>
      </w:r>
      <w:r w:rsidRPr="00023470">
        <w:rPr>
          <w:lang w:val="en-IE"/>
        </w:rPr>
        <w:t>. The local access route continues into College Green at which point the route crosses the space from being previously aligned to the south side of Dame Street and College Green to skirting the historic kerbstones of the Bank of Ireland along the north edge of College Green. The local access route then allows for operational and commercial access to the Bank of Ireland via Foster Place and College Green. Having achieved access to the Bank of Ireland, the local access route retraces its movement to Anglesea Street where it heads towards Fleet Street to exit the project area.</w:t>
      </w:r>
    </w:p>
    <w:p w14:paraId="38E7858E" w14:textId="77777777" w:rsidR="00DB620E" w:rsidRDefault="00DB620E" w:rsidP="00734985">
      <w:pPr>
        <w:rPr>
          <w:lang w:val="en-IE"/>
        </w:rPr>
      </w:pPr>
    </w:p>
    <w:p w14:paraId="5AD7EE7F" w14:textId="7B73A84B" w:rsidR="00DB620E" w:rsidRDefault="00DB620E" w:rsidP="00734985">
      <w:pPr>
        <w:rPr>
          <w:lang w:val="en-IE"/>
        </w:rPr>
      </w:pPr>
      <w:r>
        <w:rPr>
          <w:lang w:val="en-IE"/>
        </w:rPr>
        <w:t>A small</w:t>
      </w:r>
      <w:r>
        <w:rPr>
          <w:lang w:val="en-IE"/>
        </w:rPr>
        <w:t xml:space="preserve"> illustrative cross-section drawing of Dame Street cutting along a north-south axis</w:t>
      </w:r>
      <w:r>
        <w:rPr>
          <w:lang w:val="en-IE"/>
        </w:rPr>
        <w:t xml:space="preserve"> is included on this drawing</w:t>
      </w:r>
      <w:r>
        <w:rPr>
          <w:lang w:val="en-IE"/>
        </w:rPr>
        <w:t xml:space="preserve">. A section drawing represents the vertical cut through a building or space that reveals interior spaces, structure, ground layers and soil depths. The section looks eastward towards College Green and represents the typical view across Dame Street as proposed by the Grow College Green Pre-planning Design. The section shows multi-storey buildings that line the north and south of Dame Street (left and right respectively). From left to right (north to south) the Dame Street cross-section is illustrated as follows: a 5 metre wide ‘pedestrian zone’, this allows for terrace seating along the building edge and ample footpath circulation space the plan detail shows the ‘pedestrian zone’ becoming wider at points along Dame Street creating seating opportunities; an 8 metre ‘planting zone’ is shown in the centre of the street, and hosts a variety of low level planting, single-stem trees, and multi-stem trees; birds take flight from the tree canopy; the soil of the ‘planting zone’ reaches a sufficient depth for the roots and is given the full width of the zone; the planting surface undulates from a hight point on the left to a low point on the right; this low point allows for the movement of water through the ‘planting zone’ as shown in the plan fragment; a 4.5 metre wide ‘access route’ shows </w:t>
      </w:r>
      <w:r>
        <w:rPr>
          <w:lang w:val="en-IE"/>
        </w:rPr>
        <w:t>a delivery van and a cyclist</w:t>
      </w:r>
      <w:r>
        <w:rPr>
          <w:lang w:val="en-IE"/>
        </w:rPr>
        <w:t>; the ‘access route’ is segregated from the ‘planting zone’ (left) and ‘pedestrian zone’ (right) by a stepped kerb detail and designed pedestrian crossing points; finally, another ‘pedestrian zone’ of 5 metres wide lines the buildings to the south side of Dame Street; this ‘pedestrian zone’ is tree-lined at the kerb; people appear to be walking along the shopfronts. The full width of the public realm improvements to Dame Street are approximately 22.8 metres.</w:t>
      </w:r>
    </w:p>
    <w:p w14:paraId="3D5B608D" w14:textId="64AAE89E" w:rsidR="008E0DAE" w:rsidRDefault="008E0DAE" w:rsidP="00734985">
      <w:pPr>
        <w:rPr>
          <w:lang w:val="en-IE"/>
        </w:rPr>
      </w:pPr>
    </w:p>
    <w:p w14:paraId="603EE3E3" w14:textId="17363429" w:rsidR="00167855" w:rsidRDefault="00DB620E" w:rsidP="005765D6">
      <w:pPr>
        <w:pStyle w:val="Heading2"/>
        <w:rPr>
          <w:lang w:val="en-IE"/>
        </w:rPr>
      </w:pPr>
      <w:bookmarkStart w:id="5" w:name="_Toc221633820"/>
      <w:r>
        <w:rPr>
          <w:lang w:val="en-IE"/>
        </w:rPr>
        <w:t xml:space="preserve">Proposed </w:t>
      </w:r>
      <w:r w:rsidR="00167855">
        <w:rPr>
          <w:lang w:val="en-IE"/>
        </w:rPr>
        <w:t>Local Access (after morning period)</w:t>
      </w:r>
      <w:r w:rsidR="00E95644">
        <w:rPr>
          <w:lang w:val="en-IE"/>
        </w:rPr>
        <w:t xml:space="preserve"> Diagram</w:t>
      </w:r>
      <w:bookmarkEnd w:id="5"/>
    </w:p>
    <w:p w14:paraId="0585FD6C" w14:textId="1CC1E583" w:rsidR="008E0DAE" w:rsidRDefault="008E0DAE" w:rsidP="00734985">
      <w:pPr>
        <w:rPr>
          <w:lang w:val="en-IE"/>
        </w:rPr>
      </w:pPr>
      <w:r>
        <w:rPr>
          <w:lang w:val="en-IE"/>
        </w:rPr>
        <w:t xml:space="preserve">Image displayed: The image is an illustrative plan of the Grow College Green project area with the Pre-planning Design and surrounding context. </w:t>
      </w:r>
      <w:r w:rsidRPr="002C7C90">
        <w:rPr>
          <w:lang w:val="en-IE"/>
        </w:rPr>
        <w:t xml:space="preserve">The </w:t>
      </w:r>
      <w:r>
        <w:rPr>
          <w:lang w:val="en-IE"/>
        </w:rPr>
        <w:t>drawing</w:t>
      </w:r>
      <w:r w:rsidRPr="002C7C90">
        <w:rPr>
          <w:lang w:val="en-IE"/>
        </w:rPr>
        <w:t xml:space="preserve"> is orientated with north at the top of the image.</w:t>
      </w:r>
      <w:r>
        <w:rPr>
          <w:lang w:val="en-IE"/>
        </w:rPr>
        <w:t xml:space="preserve"> The drawing is titled ‘Local Access (after morning period).</w:t>
      </w:r>
      <w:r w:rsidRPr="006C5A0C">
        <w:t xml:space="preserve"> </w:t>
      </w:r>
      <w:r w:rsidRPr="006C5A0C">
        <w:rPr>
          <w:lang w:val="en-IE"/>
        </w:rPr>
        <w:t xml:space="preserve">The </w:t>
      </w:r>
      <w:r>
        <w:rPr>
          <w:lang w:val="en-IE"/>
        </w:rPr>
        <w:t>p</w:t>
      </w:r>
      <w:r w:rsidRPr="006C5A0C">
        <w:rPr>
          <w:lang w:val="en-IE"/>
        </w:rPr>
        <w:t xml:space="preserve">roject </w:t>
      </w:r>
      <w:r>
        <w:rPr>
          <w:lang w:val="en-IE"/>
        </w:rPr>
        <w:t>b</w:t>
      </w:r>
      <w:r w:rsidRPr="006C5A0C">
        <w:rPr>
          <w:lang w:val="en-IE"/>
        </w:rPr>
        <w:t xml:space="preserve">oundary is represented by a thin black dashed line. The streets and space within the </w:t>
      </w:r>
      <w:r>
        <w:rPr>
          <w:lang w:val="en-IE"/>
        </w:rPr>
        <w:t>p</w:t>
      </w:r>
      <w:r w:rsidRPr="006C5A0C">
        <w:rPr>
          <w:lang w:val="en-IE"/>
        </w:rPr>
        <w:t>roject area</w:t>
      </w:r>
      <w:r>
        <w:rPr>
          <w:lang w:val="en-IE"/>
        </w:rPr>
        <w:t>/boundary</w:t>
      </w:r>
      <w:r w:rsidRPr="006C5A0C">
        <w:rPr>
          <w:lang w:val="en-IE"/>
        </w:rPr>
        <w:t xml:space="preserve"> are as follows (left to right, west to east); Dame Street</w:t>
      </w:r>
      <w:r>
        <w:rPr>
          <w:lang w:val="en-IE"/>
        </w:rPr>
        <w:t xml:space="preserve"> (between George’s Street junction to College Green)</w:t>
      </w:r>
      <w:r w:rsidRPr="006C5A0C">
        <w:rPr>
          <w:lang w:val="en-IE"/>
        </w:rPr>
        <w:t xml:space="preserve">, Foster Place, College Green; north side-streets include </w:t>
      </w:r>
      <w:r>
        <w:rPr>
          <w:lang w:val="en-IE"/>
        </w:rPr>
        <w:t xml:space="preserve">Temple Lane South, Cecilia Street, Crow Street, </w:t>
      </w:r>
      <w:r w:rsidRPr="006C5A0C">
        <w:rPr>
          <w:lang w:val="en-IE"/>
        </w:rPr>
        <w:t>Fownes Street Upper, Cope Street, and Anglesea Street; south side-streets include Trinity Street, St. Andrew’s Street, and Church Lane.</w:t>
      </w:r>
      <w:r>
        <w:rPr>
          <w:lang w:val="en-IE"/>
        </w:rPr>
        <w:t xml:space="preserve"> Dashed and continuous arrows and lines of various colours permeate the streets and spaces within the project area showing how local access is controlled through the Pre-planning design after the permitted morning deliveries and services hours. A legend identifies which arrows represent local access and control measures; a thick continuous </w:t>
      </w:r>
      <w:r w:rsidR="00167855">
        <w:rPr>
          <w:lang w:val="en-IE"/>
        </w:rPr>
        <w:t>red</w:t>
      </w:r>
      <w:r>
        <w:rPr>
          <w:lang w:val="en-IE"/>
        </w:rPr>
        <w:t xml:space="preserve"> line represents </w:t>
      </w:r>
      <w:r w:rsidR="00167855">
        <w:rPr>
          <w:lang w:val="en-IE"/>
        </w:rPr>
        <w:t>‘24-hour</w:t>
      </w:r>
      <w:r>
        <w:rPr>
          <w:lang w:val="en-IE"/>
        </w:rPr>
        <w:t xml:space="preserve"> access’; a thin dashed grey arrow represents the ‘restricted access to private car park’; a thin dashed yellow arrow represents the location of ‘</w:t>
      </w:r>
      <w:r w:rsidR="00167855">
        <w:rPr>
          <w:lang w:val="en-IE"/>
        </w:rPr>
        <w:t>access control</w:t>
      </w:r>
      <w:r>
        <w:rPr>
          <w:lang w:val="en-IE"/>
        </w:rPr>
        <w:t>’.</w:t>
      </w:r>
    </w:p>
    <w:p w14:paraId="32A71304" w14:textId="77777777" w:rsidR="00734985" w:rsidRDefault="00734985" w:rsidP="00734985">
      <w:pPr>
        <w:rPr>
          <w:lang w:val="en-IE"/>
        </w:rPr>
      </w:pPr>
    </w:p>
    <w:p w14:paraId="34280DEE" w14:textId="3E9D4684" w:rsidR="00E95644" w:rsidRPr="00023470" w:rsidRDefault="00E95644" w:rsidP="00734985">
      <w:pPr>
        <w:rPr>
          <w:lang w:val="en-IE"/>
        </w:rPr>
      </w:pPr>
      <w:r>
        <w:rPr>
          <w:lang w:val="en-IE"/>
        </w:rPr>
        <w:t>Bullet points at the bottom of the legend read: “The intent is to provide a pedestrian priority area from South Great George’s Street to Trinity College, including the adjacent side street. The area will be closed to general traffic in line with the City Centre Transport Plan. The National Transport Authority’s bus network redesign will be rerouting bus routes away from this area. The Grow College Green project will reimagine this space after the buses and traffic are gone. Access for emergency vehicles will be provided at all times. Controlled access, using automated bollards, will be put in place to facilitate restricted local access/servicing and loading within the project area. Times for the morning delivery period will be reviewed.”</w:t>
      </w:r>
    </w:p>
    <w:p w14:paraId="684CF9C7" w14:textId="77777777" w:rsidR="00E95644" w:rsidRDefault="00E95644" w:rsidP="00734985">
      <w:pPr>
        <w:rPr>
          <w:lang w:val="en-IE"/>
        </w:rPr>
      </w:pPr>
    </w:p>
    <w:p w14:paraId="3204D00C" w14:textId="77777777" w:rsidR="008C66DC" w:rsidRDefault="008C66DC">
      <w:pPr>
        <w:widowControl/>
        <w:tabs>
          <w:tab w:val="clear" w:pos="2820"/>
        </w:tabs>
        <w:autoSpaceDE/>
        <w:autoSpaceDN/>
        <w:spacing w:after="160" w:line="259" w:lineRule="auto"/>
        <w:jc w:val="left"/>
        <w:rPr>
          <w:lang w:val="en-IE"/>
        </w:rPr>
      </w:pPr>
      <w:r>
        <w:rPr>
          <w:lang w:val="en-IE"/>
        </w:rPr>
        <w:br w:type="page"/>
      </w:r>
    </w:p>
    <w:p w14:paraId="79E3335A" w14:textId="0C5628AE" w:rsidR="008C66DC" w:rsidRDefault="008C66DC" w:rsidP="00734985">
      <w:pPr>
        <w:rPr>
          <w:lang w:val="en-IE"/>
        </w:rPr>
      </w:pPr>
      <w:r>
        <w:rPr>
          <w:lang w:val="en-IE"/>
        </w:rPr>
        <w:t>Page 9</w:t>
      </w:r>
    </w:p>
    <w:p w14:paraId="5BED8695" w14:textId="77777777" w:rsidR="008C66DC" w:rsidRDefault="008C66DC" w:rsidP="00734985">
      <w:pPr>
        <w:rPr>
          <w:lang w:val="en-IE"/>
        </w:rPr>
      </w:pPr>
    </w:p>
    <w:p w14:paraId="28E923F3" w14:textId="5B7A2FE1" w:rsidR="00167855" w:rsidRDefault="008E0DAE" w:rsidP="00734985">
      <w:pPr>
        <w:rPr>
          <w:lang w:val="en-IE"/>
        </w:rPr>
      </w:pPr>
      <w:r>
        <w:rPr>
          <w:lang w:val="en-IE"/>
        </w:rPr>
        <w:t xml:space="preserve">The thick continuous </w:t>
      </w:r>
      <w:r w:rsidR="00167855">
        <w:rPr>
          <w:lang w:val="en-IE"/>
        </w:rPr>
        <w:t>red</w:t>
      </w:r>
      <w:r>
        <w:rPr>
          <w:lang w:val="en-IE"/>
        </w:rPr>
        <w:t xml:space="preserve"> arrow will be described from west to east following flow of </w:t>
      </w:r>
      <w:r w:rsidR="00167855">
        <w:rPr>
          <w:lang w:val="en-IE"/>
        </w:rPr>
        <w:t>‘24-hour</w:t>
      </w:r>
      <w:r>
        <w:rPr>
          <w:lang w:val="en-IE"/>
        </w:rPr>
        <w:t xml:space="preserve"> access’. </w:t>
      </w:r>
      <w:r w:rsidR="00167855">
        <w:rPr>
          <w:lang w:val="en-IE"/>
        </w:rPr>
        <w:t xml:space="preserve">There are two 24 </w:t>
      </w:r>
      <w:r w:rsidR="00DB620E">
        <w:rPr>
          <w:lang w:val="en-IE"/>
        </w:rPr>
        <w:t xml:space="preserve">hour </w:t>
      </w:r>
      <w:r w:rsidR="00167855">
        <w:rPr>
          <w:lang w:val="en-IE"/>
        </w:rPr>
        <w:t xml:space="preserve">access routes indicated on this drawing. </w:t>
      </w:r>
      <w:r>
        <w:rPr>
          <w:lang w:val="en-IE"/>
        </w:rPr>
        <w:t xml:space="preserve">The arrows indicate that the local access route is one-way. The </w:t>
      </w:r>
      <w:r w:rsidR="00167855">
        <w:rPr>
          <w:lang w:val="en-IE"/>
        </w:rPr>
        <w:t>north 24-hour</w:t>
      </w:r>
      <w:r>
        <w:rPr>
          <w:lang w:val="en-IE"/>
        </w:rPr>
        <w:t xml:space="preserve"> access route enters the project area at the George’s Street junction turning immediately onto Temple Lane South. The </w:t>
      </w:r>
      <w:r w:rsidR="00167855">
        <w:rPr>
          <w:lang w:val="en-IE"/>
        </w:rPr>
        <w:t>24-hour</w:t>
      </w:r>
      <w:r>
        <w:rPr>
          <w:lang w:val="en-IE"/>
        </w:rPr>
        <w:t xml:space="preserve"> access route moves through Temple Lane South, Cecilia Street, Cope Street and Anglesea Street to exit the project area at Fleet Street.</w:t>
      </w:r>
      <w:r w:rsidR="00167855">
        <w:rPr>
          <w:lang w:val="en-IE"/>
        </w:rPr>
        <w:t xml:space="preserve"> The south 24-hour access route is shown to begin on Exchequer Street moving eastwards where it turns north onto St. Andrew’s Lane. It is at the junction of St. Andrew’s Lane and Trinity Street that the unrestricted vehicular route enters the project area.</w:t>
      </w:r>
      <w:r w:rsidR="00167855" w:rsidRPr="00F171B9">
        <w:rPr>
          <w:lang w:val="en-IE"/>
        </w:rPr>
        <w:t xml:space="preserve"> </w:t>
      </w:r>
      <w:r w:rsidR="00167855">
        <w:rPr>
          <w:lang w:val="en-IE"/>
        </w:rPr>
        <w:t>The unrestricted vehicular route moves south onto St. Andrew’s Street where is exits the project area at the junction of St. Andrew’s Street and Exchequer Street. It then moves east onto Wicklow Street. Thin dashed yellow lines that represent ‘retractable bollards’ controls the movement of the unrestricted vehicular route to follow this one-way path.</w:t>
      </w:r>
    </w:p>
    <w:p w14:paraId="6BA80C34" w14:textId="77777777" w:rsidR="00167855" w:rsidRDefault="00167855" w:rsidP="00734985">
      <w:pPr>
        <w:rPr>
          <w:lang w:val="en-IE"/>
        </w:rPr>
      </w:pPr>
    </w:p>
    <w:p w14:paraId="3A2A8A31" w14:textId="0911EB83" w:rsidR="008E0DAE" w:rsidRDefault="008E0DAE" w:rsidP="00734985">
      <w:pPr>
        <w:rPr>
          <w:lang w:val="en-IE"/>
        </w:rPr>
      </w:pPr>
      <w:r>
        <w:rPr>
          <w:lang w:val="en-IE"/>
        </w:rPr>
        <w:t xml:space="preserve">The thin dashed grey line that represents ‘restricted access to </w:t>
      </w:r>
      <w:r w:rsidR="00167855">
        <w:rPr>
          <w:lang w:val="en-IE"/>
        </w:rPr>
        <w:t xml:space="preserve">private </w:t>
      </w:r>
      <w:r>
        <w:rPr>
          <w:lang w:val="en-IE"/>
        </w:rPr>
        <w:t>car parks’ follows the same one-way path as the local access route until the junction of Cope Street and Anglesea Street. At this point a thin dashed grey line representing ‘access control bollards’ permits two-way access to the Bank of Ireland carparking via College Green and Foster Place. Having achieved access to the Bank of Ireland carparking, the restricted access route retraces its movement to Anglesea Street where it heads towards Fleet Street to exit the project area.</w:t>
      </w:r>
    </w:p>
    <w:p w14:paraId="286DC5B3" w14:textId="77777777" w:rsidR="008E0DAE" w:rsidRDefault="008E0DAE" w:rsidP="00734985">
      <w:pPr>
        <w:rPr>
          <w:lang w:val="en-IE"/>
        </w:rPr>
      </w:pPr>
    </w:p>
    <w:p w14:paraId="16461E40" w14:textId="77777777" w:rsidR="008E0DAE" w:rsidRDefault="008E0DAE" w:rsidP="00734985">
      <w:pPr>
        <w:rPr>
          <w:lang w:val="en-IE"/>
        </w:rPr>
      </w:pPr>
      <w:r>
        <w:rPr>
          <w:lang w:val="en-IE"/>
        </w:rPr>
        <w:t>The drawing shows that the access routes described are kept to the outer edges of the Grow College Green project area. This along with access control measures such as bollards has enabled Dame Street, College Green and supporting side streets to prioritise pedestrian and cyclist movement and comfort.</w:t>
      </w:r>
    </w:p>
    <w:p w14:paraId="1DE4772C" w14:textId="77777777" w:rsidR="00167855" w:rsidRDefault="00167855" w:rsidP="00734985">
      <w:pPr>
        <w:rPr>
          <w:lang w:val="en-IE"/>
        </w:rPr>
      </w:pPr>
    </w:p>
    <w:p w14:paraId="4C803069" w14:textId="06193995" w:rsidR="00DB620E" w:rsidRDefault="00DB620E" w:rsidP="00DB620E">
      <w:pPr>
        <w:pStyle w:val="Heading2"/>
        <w:rPr>
          <w:lang w:val="en-IE"/>
        </w:rPr>
      </w:pPr>
      <w:bookmarkStart w:id="6" w:name="_Toc221633821"/>
      <w:r>
        <w:rPr>
          <w:lang w:val="en-IE"/>
        </w:rPr>
        <w:t xml:space="preserve">Proposed </w:t>
      </w:r>
      <w:r>
        <w:rPr>
          <w:lang w:val="en-IE"/>
        </w:rPr>
        <w:t>Parking Arrangement Diagram</w:t>
      </w:r>
      <w:bookmarkEnd w:id="6"/>
    </w:p>
    <w:p w14:paraId="6CCDFA38" w14:textId="35B94FEE" w:rsidR="00DB620E" w:rsidRDefault="00DB620E" w:rsidP="00DB620E">
      <w:pPr>
        <w:rPr>
          <w:lang w:val="en-IE"/>
        </w:rPr>
      </w:pPr>
      <w:r>
        <w:rPr>
          <w:lang w:val="en-IE"/>
        </w:rPr>
        <w:t xml:space="preserve">Image displayed: The image is an illustrative plan of the Grow College Green project area with the Pre-planning Design and surrounding context. </w:t>
      </w:r>
      <w:r w:rsidRPr="002C7C90">
        <w:rPr>
          <w:lang w:val="en-IE"/>
        </w:rPr>
        <w:t xml:space="preserve">The </w:t>
      </w:r>
      <w:r>
        <w:rPr>
          <w:lang w:val="en-IE"/>
        </w:rPr>
        <w:t>drawing</w:t>
      </w:r>
      <w:r w:rsidRPr="002C7C90">
        <w:rPr>
          <w:lang w:val="en-IE"/>
        </w:rPr>
        <w:t xml:space="preserve"> is orientated with north at the top of the image.</w:t>
      </w:r>
      <w:r>
        <w:rPr>
          <w:lang w:val="en-IE"/>
        </w:rPr>
        <w:t xml:space="preserve"> The drawing is titled ‘</w:t>
      </w:r>
      <w:r>
        <w:rPr>
          <w:lang w:val="en-IE"/>
        </w:rPr>
        <w:t xml:space="preserve">Proposed </w:t>
      </w:r>
      <w:r>
        <w:rPr>
          <w:lang w:val="en-IE"/>
        </w:rPr>
        <w:t>Parking Arrangement’.</w:t>
      </w:r>
      <w:r w:rsidRPr="006C5A0C">
        <w:t xml:space="preserve"> </w:t>
      </w:r>
      <w:r w:rsidRPr="006C5A0C">
        <w:rPr>
          <w:lang w:val="en-IE"/>
        </w:rPr>
        <w:t xml:space="preserve">The </w:t>
      </w:r>
      <w:r>
        <w:rPr>
          <w:lang w:val="en-IE"/>
        </w:rPr>
        <w:t>p</w:t>
      </w:r>
      <w:r w:rsidRPr="006C5A0C">
        <w:rPr>
          <w:lang w:val="en-IE"/>
        </w:rPr>
        <w:t xml:space="preserve">roject </w:t>
      </w:r>
      <w:r>
        <w:rPr>
          <w:lang w:val="en-IE"/>
        </w:rPr>
        <w:t>b</w:t>
      </w:r>
      <w:r w:rsidRPr="006C5A0C">
        <w:rPr>
          <w:lang w:val="en-IE"/>
        </w:rPr>
        <w:t xml:space="preserve">oundary is represented by a thin black dashed line. The streets and space within the </w:t>
      </w:r>
      <w:r>
        <w:rPr>
          <w:lang w:val="en-IE"/>
        </w:rPr>
        <w:t>p</w:t>
      </w:r>
      <w:r w:rsidRPr="006C5A0C">
        <w:rPr>
          <w:lang w:val="en-IE"/>
        </w:rPr>
        <w:t>roject area</w:t>
      </w:r>
      <w:r>
        <w:rPr>
          <w:lang w:val="en-IE"/>
        </w:rPr>
        <w:t>/boundary</w:t>
      </w:r>
      <w:r w:rsidRPr="006C5A0C">
        <w:rPr>
          <w:lang w:val="en-IE"/>
        </w:rPr>
        <w:t xml:space="preserve"> are as follows (left to right, west to east); Dame Street</w:t>
      </w:r>
      <w:r>
        <w:rPr>
          <w:lang w:val="en-IE"/>
        </w:rPr>
        <w:t xml:space="preserve"> (between George’s Street junction to College Green)</w:t>
      </w:r>
      <w:r w:rsidRPr="006C5A0C">
        <w:rPr>
          <w:lang w:val="en-IE"/>
        </w:rPr>
        <w:t xml:space="preserve">, Foster Place, College Green; north side-streets include </w:t>
      </w:r>
      <w:r>
        <w:rPr>
          <w:lang w:val="en-IE"/>
        </w:rPr>
        <w:t xml:space="preserve">Temple Lane South, Cecilia Street, Crow Street, </w:t>
      </w:r>
      <w:r w:rsidRPr="006C5A0C">
        <w:rPr>
          <w:lang w:val="en-IE"/>
        </w:rPr>
        <w:t>Fownes Street Upper, Cope Street, and Anglesea Street; south side-streets include Trinity Street, St. Andrew’s Street, and Church Lane.</w:t>
      </w:r>
      <w:r>
        <w:rPr>
          <w:lang w:val="en-IE"/>
        </w:rPr>
        <w:t xml:space="preserve"> Hatches and symbols of various colours and patterns in the drawing indicate the different forms of parking permitted within the project area. A legend identifies each hatch and symbol; an light orange polka-dot hatch represents the ‘loading bay’ parking permitted in the morning period; a deep orange vertical line hatch represents ‘loading bay' parking permitted 24 hours a day; a deep yellow vertical line hatch represents ‘taxi parking’ permitted 24 hours a day; a deep blue vertical line hatch represents 24 hour parking for those with a ‘disabled person’s parking permit’; a grey square with a capitalised ‘P’ indicates ‘private parking’; a beige square with a capitalised ‘P’ indicates ‘public parking’; and a thin dashed beige line represents ‘access control’ measures across the project area.</w:t>
      </w:r>
    </w:p>
    <w:p w14:paraId="35051A86" w14:textId="77777777" w:rsidR="00DB620E" w:rsidRDefault="00DB620E" w:rsidP="00DB620E">
      <w:pPr>
        <w:rPr>
          <w:lang w:val="en-IE"/>
        </w:rPr>
      </w:pPr>
    </w:p>
    <w:p w14:paraId="635C9CD3" w14:textId="5C0EAEF6" w:rsidR="00DB620E" w:rsidRDefault="00DB620E" w:rsidP="00DB620E">
      <w:pPr>
        <w:rPr>
          <w:lang w:val="en-IE"/>
        </w:rPr>
      </w:pPr>
      <w:r>
        <w:rPr>
          <w:lang w:val="en-IE"/>
        </w:rPr>
        <w:t>Page 10</w:t>
      </w:r>
    </w:p>
    <w:p w14:paraId="501F3B56" w14:textId="77777777" w:rsidR="00DB620E" w:rsidRDefault="00DB620E" w:rsidP="00DB620E">
      <w:pPr>
        <w:rPr>
          <w:lang w:val="en-IE"/>
        </w:rPr>
      </w:pPr>
    </w:p>
    <w:p w14:paraId="1FD75AFA" w14:textId="4A02AABB" w:rsidR="00DB620E" w:rsidRDefault="00DB620E" w:rsidP="00DB620E">
      <w:pPr>
        <w:rPr>
          <w:lang w:val="en-IE"/>
        </w:rPr>
      </w:pPr>
      <w:r>
        <w:rPr>
          <w:lang w:val="en-IE"/>
        </w:rPr>
        <w:t>The ‘loading bay’ parking permitted in the morning period are indicated at the following locations with the following length of parking zone; Fownes Street Upper (Anglesea Street just south of the junction with Cope Street), Dame Street south of the Central Plaza, Dame Street in between the junctions of Trinity Street and Anglesea Street, Trinity Street, St. Andrew’s Street in front of An Post office.</w:t>
      </w:r>
    </w:p>
    <w:p w14:paraId="23C9E98F" w14:textId="77777777" w:rsidR="00DB620E" w:rsidRDefault="00DB620E" w:rsidP="00DB620E">
      <w:pPr>
        <w:rPr>
          <w:lang w:val="en-IE"/>
        </w:rPr>
      </w:pPr>
    </w:p>
    <w:p w14:paraId="1411EA65" w14:textId="77777777" w:rsidR="00DB620E" w:rsidRDefault="00DB620E" w:rsidP="00DB620E">
      <w:pPr>
        <w:rPr>
          <w:lang w:val="en-IE"/>
        </w:rPr>
      </w:pPr>
      <w:r>
        <w:rPr>
          <w:lang w:val="en-IE"/>
        </w:rPr>
        <w:t>The ‘loading bay’ parking permitted 24 hours a day are indicated at the following locations; Cope Street at the junction with Anglesea Street, the lower end of St. Andrew’s Street at the junction with Exchequer Street.</w:t>
      </w:r>
    </w:p>
    <w:p w14:paraId="0E59D732" w14:textId="77777777" w:rsidR="00DB620E" w:rsidRDefault="00DB620E" w:rsidP="00DB620E">
      <w:pPr>
        <w:rPr>
          <w:lang w:val="en-IE"/>
        </w:rPr>
      </w:pPr>
    </w:p>
    <w:p w14:paraId="27A15CFA" w14:textId="77777777" w:rsidR="00DB620E" w:rsidRDefault="00DB620E" w:rsidP="00DB620E">
      <w:pPr>
        <w:rPr>
          <w:lang w:val="en-IE"/>
        </w:rPr>
      </w:pPr>
      <w:r>
        <w:rPr>
          <w:lang w:val="en-IE"/>
        </w:rPr>
        <w:t>The ‘taxi parking’ permitted 24 hours a day are indicated at the following locations with the following number of ranks; Cope Street; Trinity Street at the junction with St. Andrew’s Street; the lower end of St. Andrew’s Street at the junction with Exchequer Street.</w:t>
      </w:r>
    </w:p>
    <w:p w14:paraId="7478A50E" w14:textId="77777777" w:rsidR="00DB620E" w:rsidRDefault="00DB620E" w:rsidP="00DB620E">
      <w:pPr>
        <w:rPr>
          <w:lang w:val="en-IE"/>
        </w:rPr>
      </w:pPr>
    </w:p>
    <w:p w14:paraId="5360F9CE" w14:textId="677E29DA" w:rsidR="00DB620E" w:rsidRDefault="00DB620E" w:rsidP="00DB620E">
      <w:pPr>
        <w:rPr>
          <w:lang w:val="en-IE"/>
        </w:rPr>
      </w:pPr>
      <w:r>
        <w:rPr>
          <w:lang w:val="en-IE"/>
        </w:rPr>
        <w:t>Two 24 hours a day parking bays for those with a ‘Disabled Person’s Parking Permit’ are provided with</w:t>
      </w:r>
      <w:r>
        <w:rPr>
          <w:lang w:val="en-IE"/>
        </w:rPr>
        <w:t>in</w:t>
      </w:r>
      <w:r>
        <w:rPr>
          <w:lang w:val="en-IE"/>
        </w:rPr>
        <w:t xml:space="preserve"> the project area, one on Cope Steet and one on Trinity Street.</w:t>
      </w:r>
    </w:p>
    <w:p w14:paraId="4A5C2715" w14:textId="77777777" w:rsidR="00DB620E" w:rsidRDefault="00DB620E" w:rsidP="00DB620E">
      <w:pPr>
        <w:rPr>
          <w:lang w:val="en-IE"/>
        </w:rPr>
      </w:pPr>
    </w:p>
    <w:p w14:paraId="4C5422E6" w14:textId="77777777" w:rsidR="00DB620E" w:rsidRDefault="00DB620E" w:rsidP="00DB620E">
      <w:pPr>
        <w:rPr>
          <w:lang w:val="en-IE"/>
        </w:rPr>
      </w:pPr>
      <w:r>
        <w:rPr>
          <w:lang w:val="en-IE"/>
        </w:rPr>
        <w:t>Private parking within the project area and context is as follows (west to east); Central Plaza via Cope Street; Dame Lane private premises via Dame Lane, private premises parking supporting Exchequer Street, Dame Court, and Dame Lane via St. Andrew’s Lane; Bank of Ireland piazza via College Green. Public parking within the project area and context is as follows (west to east); Trinity Street Car Park via St. Andrew’s Lane; Fleet Street Q-Park via Fleet Street.</w:t>
      </w:r>
    </w:p>
    <w:p w14:paraId="4382B24A" w14:textId="77777777" w:rsidR="00DB620E" w:rsidRDefault="00DB620E" w:rsidP="00DB620E">
      <w:pPr>
        <w:rPr>
          <w:lang w:val="en-IE"/>
        </w:rPr>
      </w:pPr>
    </w:p>
    <w:p w14:paraId="42774D8A" w14:textId="451CBC4A" w:rsidR="00DB620E" w:rsidRDefault="00DB620E" w:rsidP="00DB620E">
      <w:pPr>
        <w:pStyle w:val="Heading2"/>
        <w:rPr>
          <w:lang w:val="en-IE"/>
        </w:rPr>
      </w:pPr>
      <w:bookmarkStart w:id="7" w:name="_Toc221633822"/>
      <w:r>
        <w:rPr>
          <w:lang w:val="en-IE"/>
        </w:rPr>
        <w:t xml:space="preserve">Proposed </w:t>
      </w:r>
      <w:r>
        <w:rPr>
          <w:lang w:val="en-IE"/>
        </w:rPr>
        <w:t>Emergency Vehicle Route Diagram</w:t>
      </w:r>
      <w:bookmarkEnd w:id="7"/>
    </w:p>
    <w:p w14:paraId="75E68C0F" w14:textId="77777777" w:rsidR="00DB620E" w:rsidRDefault="00DB620E" w:rsidP="00DB620E">
      <w:pPr>
        <w:rPr>
          <w:lang w:val="en-IE"/>
        </w:rPr>
      </w:pPr>
      <w:r>
        <w:rPr>
          <w:lang w:val="en-IE"/>
        </w:rPr>
        <w:t xml:space="preserve">Image displayed: The image is an illustrative plan of the Grow College Green project area with the Pre-planning Design and surrounding context. </w:t>
      </w:r>
      <w:r w:rsidRPr="002C7C90">
        <w:rPr>
          <w:lang w:val="en-IE"/>
        </w:rPr>
        <w:t xml:space="preserve">The </w:t>
      </w:r>
      <w:r>
        <w:rPr>
          <w:lang w:val="en-IE"/>
        </w:rPr>
        <w:t>drawing</w:t>
      </w:r>
      <w:r w:rsidRPr="002C7C90">
        <w:rPr>
          <w:lang w:val="en-IE"/>
        </w:rPr>
        <w:t xml:space="preserve"> is orientated with north at the top of the image.</w:t>
      </w:r>
      <w:r>
        <w:rPr>
          <w:lang w:val="en-IE"/>
        </w:rPr>
        <w:t xml:space="preserve"> The drawing is titled ‘Emergency Vehicle Routes’.</w:t>
      </w:r>
      <w:r w:rsidRPr="006C5A0C">
        <w:t xml:space="preserve"> </w:t>
      </w:r>
      <w:r w:rsidRPr="006C5A0C">
        <w:rPr>
          <w:lang w:val="en-IE"/>
        </w:rPr>
        <w:t xml:space="preserve">The </w:t>
      </w:r>
      <w:r>
        <w:rPr>
          <w:lang w:val="en-IE"/>
        </w:rPr>
        <w:t>p</w:t>
      </w:r>
      <w:r w:rsidRPr="006C5A0C">
        <w:rPr>
          <w:lang w:val="en-IE"/>
        </w:rPr>
        <w:t xml:space="preserve">roject </w:t>
      </w:r>
      <w:r>
        <w:rPr>
          <w:lang w:val="en-IE"/>
        </w:rPr>
        <w:t>b</w:t>
      </w:r>
      <w:r w:rsidRPr="006C5A0C">
        <w:rPr>
          <w:lang w:val="en-IE"/>
        </w:rPr>
        <w:t xml:space="preserve">oundary is represented by a thin black dashed line. The streets and space within the </w:t>
      </w:r>
      <w:r>
        <w:rPr>
          <w:lang w:val="en-IE"/>
        </w:rPr>
        <w:t>p</w:t>
      </w:r>
      <w:r w:rsidRPr="006C5A0C">
        <w:rPr>
          <w:lang w:val="en-IE"/>
        </w:rPr>
        <w:t>roject area</w:t>
      </w:r>
      <w:r>
        <w:rPr>
          <w:lang w:val="en-IE"/>
        </w:rPr>
        <w:t>/boundary</w:t>
      </w:r>
      <w:r w:rsidRPr="006C5A0C">
        <w:rPr>
          <w:lang w:val="en-IE"/>
        </w:rPr>
        <w:t xml:space="preserve"> are as follows (left to right, west to east); Dame Street</w:t>
      </w:r>
      <w:r>
        <w:rPr>
          <w:lang w:val="en-IE"/>
        </w:rPr>
        <w:t xml:space="preserve"> (between George’s Street junction to College Green)</w:t>
      </w:r>
      <w:r w:rsidRPr="006C5A0C">
        <w:rPr>
          <w:lang w:val="en-IE"/>
        </w:rPr>
        <w:t xml:space="preserve">, Foster Place, College Green; north side-streets include </w:t>
      </w:r>
      <w:r>
        <w:rPr>
          <w:lang w:val="en-IE"/>
        </w:rPr>
        <w:t xml:space="preserve">Temple Lane South, Cecilia Street, Crow Street, </w:t>
      </w:r>
      <w:r w:rsidRPr="006C5A0C">
        <w:rPr>
          <w:lang w:val="en-IE"/>
        </w:rPr>
        <w:t>Fownes Street Upper, Cope Street, and Anglesea Street; south side-streets include Trinity Street, St. Andrew’s Street, and Church Lane.</w:t>
      </w:r>
      <w:r>
        <w:rPr>
          <w:lang w:val="en-IE"/>
        </w:rPr>
        <w:t xml:space="preserve"> A thick continuous red arrow permeates the streets and spaces within the project area showing how emergency services gain access to and through the Pre-planning design.</w:t>
      </w:r>
    </w:p>
    <w:p w14:paraId="28980EFE" w14:textId="77777777" w:rsidR="00DB620E" w:rsidRDefault="00DB620E" w:rsidP="00DB620E">
      <w:pPr>
        <w:rPr>
          <w:lang w:val="en-IE"/>
        </w:rPr>
      </w:pPr>
    </w:p>
    <w:p w14:paraId="411338BC" w14:textId="77777777" w:rsidR="00DB620E" w:rsidRDefault="00DB620E" w:rsidP="00DB620E">
      <w:pPr>
        <w:rPr>
          <w:lang w:val="en-IE"/>
        </w:rPr>
      </w:pPr>
      <w:r>
        <w:rPr>
          <w:lang w:val="en-IE"/>
        </w:rPr>
        <w:t>The thick continuous red arrow that represents emergency access route will be described from west to east. The arrows indicate that the emergency access route is both two-way and one-way. The emergency access route enters the project area at the George’s Street junction moving eastwards along the segregated access route on the south side of Dame Street.</w:t>
      </w:r>
      <w:r w:rsidRPr="005A6178">
        <w:rPr>
          <w:lang w:val="en-IE"/>
        </w:rPr>
        <w:t xml:space="preserve"> </w:t>
      </w:r>
      <w:r>
        <w:rPr>
          <w:lang w:val="en-IE"/>
        </w:rPr>
        <w:t xml:space="preserve">The emergency access route continues into College Green at which point the route crosses the space from being previously aligned to the south side of Dame Street and College Green to skirting the historic kerbstones of the Bank of Ireland along the north edge of College Green. The emergency access route exits the project area at College Street moving towards Townsend Street and Pearse Street where the Dublin Fire Brigade HQ and Garda Station are </w:t>
      </w:r>
    </w:p>
    <w:p w14:paraId="1D6C577F" w14:textId="39ECB431" w:rsidR="00DB620E" w:rsidRDefault="00DB620E" w:rsidP="00DB620E">
      <w:pPr>
        <w:rPr>
          <w:lang w:val="en-IE"/>
        </w:rPr>
      </w:pPr>
      <w:r>
        <w:rPr>
          <w:lang w:val="en-IE"/>
        </w:rPr>
        <w:t>Page 11</w:t>
      </w:r>
    </w:p>
    <w:p w14:paraId="792AFE7D" w14:textId="77777777" w:rsidR="00DB620E" w:rsidRDefault="00DB620E" w:rsidP="00DB620E">
      <w:pPr>
        <w:rPr>
          <w:lang w:val="en-IE"/>
        </w:rPr>
      </w:pPr>
    </w:p>
    <w:p w14:paraId="6C83DD58" w14:textId="19744AF5" w:rsidR="00DB620E" w:rsidRDefault="00DB620E" w:rsidP="00DB620E">
      <w:pPr>
        <w:rPr>
          <w:lang w:val="en-IE"/>
        </w:rPr>
      </w:pPr>
      <w:r>
        <w:rPr>
          <w:lang w:val="en-IE"/>
        </w:rPr>
        <w:t>located. The emergency access route is two-way throughout Dame Street and College Green.</w:t>
      </w:r>
    </w:p>
    <w:p w14:paraId="19CF6638" w14:textId="77777777" w:rsidR="00DB620E" w:rsidRDefault="00DB620E" w:rsidP="00DB620E">
      <w:pPr>
        <w:rPr>
          <w:lang w:val="en-IE"/>
        </w:rPr>
      </w:pPr>
    </w:p>
    <w:p w14:paraId="44911F87" w14:textId="77777777" w:rsidR="00DB620E" w:rsidRDefault="00DB620E" w:rsidP="00DB620E">
      <w:pPr>
        <w:rPr>
          <w:lang w:val="en-IE"/>
        </w:rPr>
      </w:pPr>
      <w:r>
        <w:rPr>
          <w:lang w:val="en-IE"/>
        </w:rPr>
        <w:t>The emergency access route branches out into the north and south side streets at various points along Dame Street and College Green. To gain access to Temple Bar via Dame Street, the emergency access route moves one-way through Temple Lane South, Crow Street, and Fownes Street Upper. Emergency access can exit the project area from Temple Lane South towards Essex Street East and Temple Bar. Alternatively, emergency access route moves through Cecilia Street, Cope Street onto Anglesea Street and exiting the project area at Fleet Street. To access Grafton Street and environs south of the project area, the emergency access route moves one-way through Trinity Street and Church Lane onto St. Andrew’s Street to exit the project area at either Exchequer Street or Suffolk Street.</w:t>
      </w:r>
    </w:p>
    <w:p w14:paraId="6046BFA5" w14:textId="0B14140C" w:rsidR="008C66DC" w:rsidRDefault="00E95644" w:rsidP="008C66DC">
      <w:pPr>
        <w:rPr>
          <w:lang w:val="en-IE"/>
        </w:rPr>
      </w:pPr>
      <w:r>
        <w:rPr>
          <w:lang w:val="en-IE"/>
        </w:rPr>
        <w:br w:type="page"/>
      </w:r>
      <w:r w:rsidR="008C66DC">
        <w:rPr>
          <w:lang w:val="en-IE"/>
        </w:rPr>
        <w:t>Page 1</w:t>
      </w:r>
      <w:r w:rsidR="00DB620E">
        <w:rPr>
          <w:lang w:val="en-IE"/>
        </w:rPr>
        <w:t>2</w:t>
      </w:r>
    </w:p>
    <w:p w14:paraId="0A5EFC8A" w14:textId="77777777" w:rsidR="008C66DC" w:rsidRDefault="008C66DC" w:rsidP="008C66DC">
      <w:pPr>
        <w:rPr>
          <w:lang w:val="en-IE"/>
        </w:rPr>
      </w:pPr>
    </w:p>
    <w:p w14:paraId="50995F8D" w14:textId="61984C68" w:rsidR="00167855" w:rsidRDefault="00DB620E" w:rsidP="005765D6">
      <w:pPr>
        <w:pStyle w:val="Heading2"/>
        <w:rPr>
          <w:lang w:val="en-IE"/>
        </w:rPr>
      </w:pPr>
      <w:bookmarkStart w:id="8" w:name="_Toc221633823"/>
      <w:r>
        <w:rPr>
          <w:lang w:val="en-IE"/>
        </w:rPr>
        <w:t xml:space="preserve">Proposed </w:t>
      </w:r>
      <w:r w:rsidR="00167855">
        <w:rPr>
          <w:lang w:val="en-IE"/>
        </w:rPr>
        <w:t>Cycle Routes</w:t>
      </w:r>
      <w:r w:rsidR="00E95644">
        <w:rPr>
          <w:lang w:val="en-IE"/>
        </w:rPr>
        <w:t xml:space="preserve"> Diagram</w:t>
      </w:r>
      <w:bookmarkEnd w:id="8"/>
    </w:p>
    <w:p w14:paraId="0DBD2A32" w14:textId="59D95367" w:rsidR="00B46116" w:rsidRDefault="00B46116" w:rsidP="00734985">
      <w:pPr>
        <w:rPr>
          <w:lang w:val="en-IE"/>
        </w:rPr>
      </w:pPr>
      <w:r>
        <w:rPr>
          <w:lang w:val="en-IE"/>
        </w:rPr>
        <w:t xml:space="preserve">Image displayed: The image is an illustrative plan of the Grow College Green project area with the Preliminary Design and surrounding context. </w:t>
      </w:r>
      <w:r w:rsidRPr="002C7C90">
        <w:rPr>
          <w:lang w:val="en-IE"/>
        </w:rPr>
        <w:t xml:space="preserve">The </w:t>
      </w:r>
      <w:r>
        <w:rPr>
          <w:lang w:val="en-IE"/>
        </w:rPr>
        <w:t>drawing</w:t>
      </w:r>
      <w:r w:rsidRPr="002C7C90">
        <w:rPr>
          <w:lang w:val="en-IE"/>
        </w:rPr>
        <w:t xml:space="preserve"> is orientated with north at the top of the image.</w:t>
      </w:r>
      <w:r>
        <w:rPr>
          <w:lang w:val="en-IE"/>
        </w:rPr>
        <w:t xml:space="preserve"> The drawing is titled ‘Cycle Routes’.</w:t>
      </w:r>
      <w:r w:rsidRPr="006C5A0C">
        <w:t xml:space="preserve"> </w:t>
      </w:r>
      <w:r w:rsidRPr="006C5A0C">
        <w:rPr>
          <w:lang w:val="en-IE"/>
        </w:rPr>
        <w:t xml:space="preserve">The </w:t>
      </w:r>
      <w:r>
        <w:rPr>
          <w:lang w:val="en-IE"/>
        </w:rPr>
        <w:t>p</w:t>
      </w:r>
      <w:r w:rsidRPr="006C5A0C">
        <w:rPr>
          <w:lang w:val="en-IE"/>
        </w:rPr>
        <w:t xml:space="preserve">roject </w:t>
      </w:r>
      <w:r>
        <w:rPr>
          <w:lang w:val="en-IE"/>
        </w:rPr>
        <w:t>b</w:t>
      </w:r>
      <w:r w:rsidRPr="006C5A0C">
        <w:rPr>
          <w:lang w:val="en-IE"/>
        </w:rPr>
        <w:t xml:space="preserve">oundary is represented by a thin black dashed line. The streets and space within the </w:t>
      </w:r>
      <w:r>
        <w:rPr>
          <w:lang w:val="en-IE"/>
        </w:rPr>
        <w:t>p</w:t>
      </w:r>
      <w:r w:rsidRPr="006C5A0C">
        <w:rPr>
          <w:lang w:val="en-IE"/>
        </w:rPr>
        <w:t>roject area</w:t>
      </w:r>
      <w:r>
        <w:rPr>
          <w:lang w:val="en-IE"/>
        </w:rPr>
        <w:t>/boundary</w:t>
      </w:r>
      <w:r w:rsidRPr="006C5A0C">
        <w:rPr>
          <w:lang w:val="en-IE"/>
        </w:rPr>
        <w:t xml:space="preserve"> are as follows (left to right, west to east); Dame Street</w:t>
      </w:r>
      <w:r>
        <w:rPr>
          <w:lang w:val="en-IE"/>
        </w:rPr>
        <w:t xml:space="preserve"> (between George’s Street junction to College Green)</w:t>
      </w:r>
      <w:r w:rsidRPr="006C5A0C">
        <w:rPr>
          <w:lang w:val="en-IE"/>
        </w:rPr>
        <w:t xml:space="preserve">, Foster Place, College Green; north side-streets include </w:t>
      </w:r>
      <w:r>
        <w:rPr>
          <w:lang w:val="en-IE"/>
        </w:rPr>
        <w:t xml:space="preserve">Temple Lane South, Cecilia Street, Crow Street, </w:t>
      </w:r>
      <w:r w:rsidRPr="006C5A0C">
        <w:rPr>
          <w:lang w:val="en-IE"/>
        </w:rPr>
        <w:t>Fownes Street Upper, Cope Street, and Anglesea Street; south side-streets include Trinity Street, St. Andrew’s Street, and Church Lane.</w:t>
      </w:r>
      <w:r>
        <w:rPr>
          <w:lang w:val="en-IE"/>
        </w:rPr>
        <w:t xml:space="preserve"> Dashed arrows and symbols of various colours permeate the streets and spaces within the project area showing how cyclists move through and park within the preliminary design. A legend identifies what each arrow and symbol represent; a thick dashed red line represents the ‘primary cycle provision’; a thin dashed orange arrow represents the ‘secondary cycle provision’; a bike symbol with a capitalised ‘P’ indicates locations for bike parking within the project area.</w:t>
      </w:r>
    </w:p>
    <w:p w14:paraId="6FD697A5" w14:textId="77777777" w:rsidR="00734985" w:rsidRDefault="00734985" w:rsidP="00734985">
      <w:pPr>
        <w:rPr>
          <w:lang w:val="en-IE"/>
        </w:rPr>
      </w:pPr>
    </w:p>
    <w:p w14:paraId="1218F233" w14:textId="74783AF3" w:rsidR="00F86120" w:rsidRDefault="00B46116" w:rsidP="00734985">
      <w:pPr>
        <w:rPr>
          <w:lang w:val="en-IE"/>
        </w:rPr>
      </w:pPr>
      <w:r>
        <w:rPr>
          <w:lang w:val="en-IE"/>
        </w:rPr>
        <w:t>The thick dashed red arrow representing the ‘primary cycle provision’ will be described from west to east, however the arrows indicate that the primary cycle route is two-way throughout.</w:t>
      </w:r>
      <w:r w:rsidRPr="001E3B9F">
        <w:rPr>
          <w:lang w:val="en-IE"/>
        </w:rPr>
        <w:t xml:space="preserve"> </w:t>
      </w:r>
      <w:r>
        <w:rPr>
          <w:lang w:val="en-IE"/>
        </w:rPr>
        <w:t xml:space="preserve">The </w:t>
      </w:r>
      <w:r w:rsidR="00DB620E">
        <w:rPr>
          <w:lang w:val="en-IE"/>
        </w:rPr>
        <w:t xml:space="preserve">segregated </w:t>
      </w:r>
      <w:r>
        <w:rPr>
          <w:lang w:val="en-IE"/>
        </w:rPr>
        <w:t>primary cycle route</w:t>
      </w:r>
      <w:r w:rsidR="00DB620E">
        <w:rPr>
          <w:lang w:val="en-IE"/>
        </w:rPr>
        <w:t xml:space="preserve"> will run along the main access route,</w:t>
      </w:r>
      <w:r>
        <w:rPr>
          <w:lang w:val="en-IE"/>
        </w:rPr>
        <w:t xml:space="preserve"> enter</w:t>
      </w:r>
      <w:r w:rsidR="00DB620E">
        <w:rPr>
          <w:lang w:val="en-IE"/>
        </w:rPr>
        <w:t>ing</w:t>
      </w:r>
      <w:r>
        <w:rPr>
          <w:lang w:val="en-IE"/>
        </w:rPr>
        <w:t xml:space="preserve"> the project area at the George’s Street junction moving eastwards along the south side of Dame Street.</w:t>
      </w:r>
      <w:r w:rsidRPr="0058460E">
        <w:rPr>
          <w:lang w:val="en-IE"/>
        </w:rPr>
        <w:t xml:space="preserve"> </w:t>
      </w:r>
      <w:r>
        <w:rPr>
          <w:lang w:val="en-IE"/>
        </w:rPr>
        <w:t xml:space="preserve">The primary cycle route continues into College Green at which point the route crosses the space from being previously aligned to the south side of Dame Street and College Green to skirting the historic kerbstones of the Bank of Ireland along the north edge of College Green. The primary cycle route exits the project area at College Street moving towards Westmoreland Street. The thin dashed </w:t>
      </w:r>
      <w:r w:rsidR="00F86120">
        <w:rPr>
          <w:lang w:val="en-IE"/>
        </w:rPr>
        <w:t>orange</w:t>
      </w:r>
      <w:r>
        <w:rPr>
          <w:lang w:val="en-IE"/>
        </w:rPr>
        <w:t xml:space="preserve"> arrow that represents the ‘secondary cycle provision’ follows that same route until the junction of Dame Street with Trinity Street at which point it moves south towards St. Andrews Street. The secondary cycle route exits the project area at the junction of St. Andrew’s Street and </w:t>
      </w:r>
      <w:r w:rsidR="00F86120">
        <w:rPr>
          <w:lang w:val="en-IE"/>
        </w:rPr>
        <w:t>Suffolk</w:t>
      </w:r>
      <w:r>
        <w:rPr>
          <w:lang w:val="en-IE"/>
        </w:rPr>
        <w:t xml:space="preserve"> Street. The secondary cycle route is also two-way.</w:t>
      </w:r>
    </w:p>
    <w:p w14:paraId="67677516" w14:textId="77777777" w:rsidR="00167855" w:rsidRDefault="00167855" w:rsidP="00734985">
      <w:pPr>
        <w:rPr>
          <w:lang w:val="en-IE"/>
        </w:rPr>
      </w:pPr>
    </w:p>
    <w:p w14:paraId="370F1268" w14:textId="65B844C8" w:rsidR="008C66DC" w:rsidRDefault="00F86120" w:rsidP="00734985">
      <w:pPr>
        <w:rPr>
          <w:lang w:val="en-IE"/>
        </w:rPr>
      </w:pPr>
      <w:r>
        <w:rPr>
          <w:lang w:val="en-IE"/>
        </w:rPr>
        <w:t>Bike parking is allocated at the following locations within the project area; Anglesea Street at the junction with Dame Street and College Green; the beginning of College Green at the junction with Dame Street; St. Andrew’s Street in front of the An Post offices and St. Andrew’s Church.</w:t>
      </w:r>
    </w:p>
    <w:p w14:paraId="0996119D" w14:textId="77777777" w:rsidR="00DB620E" w:rsidRDefault="00DB620E" w:rsidP="00734985">
      <w:pPr>
        <w:rPr>
          <w:lang w:val="en-IE"/>
        </w:rPr>
      </w:pPr>
    </w:p>
    <w:p w14:paraId="5B2CECD4" w14:textId="756726C8" w:rsidR="00DB620E" w:rsidRDefault="00DB620E" w:rsidP="00734985">
      <w:pPr>
        <w:rPr>
          <w:lang w:val="en-IE"/>
        </w:rPr>
      </w:pPr>
      <w:r>
        <w:rPr>
          <w:lang w:val="en-IE"/>
        </w:rPr>
        <w:t>An illustrative cross section is included on this drawing, which is described in detail on the next page.</w:t>
      </w:r>
    </w:p>
    <w:p w14:paraId="69338C6A" w14:textId="77777777" w:rsidR="008C66DC" w:rsidRDefault="008C66DC">
      <w:pPr>
        <w:widowControl/>
        <w:tabs>
          <w:tab w:val="clear" w:pos="2820"/>
        </w:tabs>
        <w:autoSpaceDE/>
        <w:autoSpaceDN/>
        <w:spacing w:after="160" w:line="259" w:lineRule="auto"/>
        <w:jc w:val="left"/>
        <w:rPr>
          <w:lang w:val="en-IE"/>
        </w:rPr>
      </w:pPr>
      <w:r>
        <w:rPr>
          <w:lang w:val="en-IE"/>
        </w:rPr>
        <w:br w:type="page"/>
      </w:r>
    </w:p>
    <w:p w14:paraId="5AE37596" w14:textId="06C801F2" w:rsidR="00332840" w:rsidRDefault="00BF6630" w:rsidP="000E45FD">
      <w:pPr>
        <w:rPr>
          <w:lang w:val="en-IE"/>
        </w:rPr>
      </w:pPr>
      <w:r>
        <w:rPr>
          <w:lang w:val="en-IE"/>
        </w:rPr>
        <w:t>Page 13</w:t>
      </w:r>
    </w:p>
    <w:p w14:paraId="7B99EF80" w14:textId="77777777" w:rsidR="007E6A07" w:rsidRDefault="007E6A07" w:rsidP="000E45FD">
      <w:pPr>
        <w:rPr>
          <w:lang w:val="en-IE"/>
        </w:rPr>
      </w:pPr>
    </w:p>
    <w:p w14:paraId="0DCD4801" w14:textId="2F576775" w:rsidR="007E6A07" w:rsidRDefault="0018449C" w:rsidP="007E6A07">
      <w:pPr>
        <w:pStyle w:val="Heading1"/>
        <w:rPr>
          <w:lang w:val="en-IE"/>
        </w:rPr>
      </w:pPr>
      <w:r>
        <w:rPr>
          <w:lang w:val="en-IE"/>
        </w:rPr>
        <w:t>Proposed Typical Cross Section</w:t>
      </w:r>
    </w:p>
    <w:p w14:paraId="11308790" w14:textId="174FF3AE" w:rsidR="007E6A07" w:rsidRDefault="007E6A07" w:rsidP="007E6A07">
      <w:pPr>
        <w:rPr>
          <w:lang w:val="en-IE"/>
        </w:rPr>
      </w:pPr>
      <w:r>
        <w:rPr>
          <w:lang w:val="en-IE"/>
        </w:rPr>
        <w:t xml:space="preserve">Image displayed: </w:t>
      </w:r>
      <w:r w:rsidRPr="002C7C90">
        <w:rPr>
          <w:lang w:val="en-IE"/>
        </w:rPr>
        <w:t>The image is a</w:t>
      </w:r>
      <w:r>
        <w:rPr>
          <w:lang w:val="en-IE"/>
        </w:rPr>
        <w:t>n illustrative cross-section drawing of Dame Street cutting along a north-south axis. A section drawing represents the vertical cut through a building or space that reveals interior spaces, structure, ground layers and soil depths. The section looks eastward towards College Green and represents the typical view across Dame Street as proposed by the Grow College Green Pre-planning Design. Below the section is an illustrative plan detail. The plan detail is aligned with the section above. The section shows multi-storey buildings that line the north and south of Dame Street (left and right respectively). From left to right (north to south) the Dame Street cross-section is illustrated as follows: a 5 metre wide ‘pedestrian zone’, this allows for terrace seating along the building edge and ample footpath circulation space the plan detail shows the ‘pedestrian zone’ becoming wider at points along Dame Street creating seating opportunities; an 8 metre ‘planting zone’ is shown in the centre of the street, and hosts a variety of low level planting, single-stem trees, and multi-stem trees; birds take flight from the tree canopy; the soil of the ‘planting zone’ reaches a sufficient depth for the roots and is given the full width of the zone; the planting surface undulates from a hight point on the left to a low point on the right; this low point allows for the movement of water through the ‘planting zone’ as shown in the plan fragment; a 4.5 metre wide ‘access route’ shows two cyclists side-by-side; the ‘access route’ is segregated from the ‘planting zone’ (left) and ‘pedestrian zone’ (right) by a stepped kerb detail and designed pedestrian crossing points; finally, another ‘pedestrian zone’ of 5 metres wide lines the buildings to the south side of Dame Street; this ‘pedestrian zone’ is tree-lined at the kerb; people appear to be walking along the shopfronts. The full width of the public realm improvements to Dame Street are approximately 22.8 metres. The illustrative section and plan detail show how the Grow College Green Pre-planning Design strikes a balance in allocating space between greening, movement, and business activities of Dame Street.</w:t>
      </w:r>
    </w:p>
    <w:p w14:paraId="6CC869F3" w14:textId="71441F38" w:rsidR="007E6A07" w:rsidRDefault="007E6A07">
      <w:pPr>
        <w:widowControl/>
        <w:tabs>
          <w:tab w:val="clear" w:pos="2820"/>
        </w:tabs>
        <w:autoSpaceDE/>
        <w:autoSpaceDN/>
        <w:spacing w:after="160" w:line="259" w:lineRule="auto"/>
        <w:jc w:val="left"/>
        <w:rPr>
          <w:lang w:val="en-IE"/>
        </w:rPr>
      </w:pPr>
      <w:r>
        <w:rPr>
          <w:lang w:val="en-IE"/>
        </w:rPr>
        <w:br w:type="page"/>
      </w:r>
    </w:p>
    <w:p w14:paraId="5D6E8C58" w14:textId="46BEF0AC" w:rsidR="00332840" w:rsidRPr="009F204B" w:rsidRDefault="007E6A07" w:rsidP="009F204B">
      <w:pPr>
        <w:rPr>
          <w:lang w:val="en-IE"/>
        </w:rPr>
      </w:pPr>
      <w:r>
        <w:rPr>
          <w:lang w:val="en-IE"/>
        </w:rPr>
        <w:t xml:space="preserve">Page 14 </w:t>
      </w:r>
    </w:p>
    <w:p w14:paraId="03E256E4" w14:textId="656FE92C" w:rsidR="00734985" w:rsidRDefault="00734985" w:rsidP="00BF6630">
      <w:pPr>
        <w:pStyle w:val="Heading1"/>
        <w:rPr>
          <w:lang w:val="en-IE"/>
        </w:rPr>
      </w:pPr>
      <w:bookmarkStart w:id="9" w:name="_Toc221633825"/>
      <w:r>
        <w:rPr>
          <w:lang w:val="en-IE"/>
        </w:rPr>
        <w:t>Visuals</w:t>
      </w:r>
      <w:bookmarkEnd w:id="9"/>
    </w:p>
    <w:p w14:paraId="13A50955" w14:textId="5B2559E2" w:rsidR="005765D6" w:rsidRPr="005765D6" w:rsidRDefault="00846D39" w:rsidP="005765D6">
      <w:pPr>
        <w:pStyle w:val="Heading2"/>
        <w:rPr>
          <w:lang w:val="en-IE"/>
        </w:rPr>
      </w:pPr>
      <w:bookmarkStart w:id="10" w:name="_Toc221633826"/>
      <w:r>
        <w:rPr>
          <w:lang w:val="en-IE"/>
        </w:rPr>
        <w:t xml:space="preserve">Visual 1 - </w:t>
      </w:r>
      <w:r w:rsidR="005765D6">
        <w:rPr>
          <w:lang w:val="en-IE"/>
        </w:rPr>
        <w:t>College Green</w:t>
      </w:r>
      <w:bookmarkEnd w:id="10"/>
    </w:p>
    <w:p w14:paraId="76B9F0A0" w14:textId="054FDEE1" w:rsidR="008C66DC" w:rsidRDefault="00215988" w:rsidP="00215988">
      <w:pPr>
        <w:rPr>
          <w:lang w:val="en-IE"/>
        </w:rPr>
      </w:pPr>
      <w:r>
        <w:rPr>
          <w:lang w:val="en-IE"/>
        </w:rPr>
        <w:t>I</w:t>
      </w:r>
      <w:r w:rsidRPr="002D1CC0">
        <w:rPr>
          <w:lang w:val="en-IE"/>
        </w:rPr>
        <w:t>mage displayed: The image shows a daytime 3D visualisation of the Grow College Green Pre-planning Design from a birds-eye perspective. The view is taken from above the Luas line looking south-westwards down College Green towards Dame Street in the distance. The skyline is distinctly Dublin; church spires, Georgian rooftops and the Central Plaza (former Central Bank building) dominate the roofscape. The surrounding architecture is rendered white, the new public realm improvements are shown in colour which allows the design intent to come through in the image. In the foreground of the image is the large public space in front of the Bank of Ireland and Trinity College Dublin. This space, previously filled with traffic, street clutter and other obstructions, is reimagined as an open place for people to gather, rest and connect; the image shows people walking, talking and sitting throughout the space. To the right-hand side of the foreground (north), the piazza of the Bank of Ireland comes into view. Skirting along the historic kerbs of the Bank is a kerbed, segregated access route running from Westmoreland Street towards Dame Street on the northern side of the space. When it reaches Church Lane, it moves to the southern side of the street. To the left-hand side of the foreground (south) a pedestrian footpath zone allows for easy access to shopfronts; this pedestrian zone is separated from the public open space by a line of public seating and planting with up stand edges. The image shows the public open space framed by trees and planting aiding the sense of natural enclosure.</w:t>
      </w:r>
      <w:r>
        <w:rPr>
          <w:lang w:val="en-IE"/>
        </w:rPr>
        <w:t xml:space="preserve"> </w:t>
      </w:r>
      <w:r w:rsidRPr="002D1CC0">
        <w:rPr>
          <w:lang w:val="en-IE"/>
        </w:rPr>
        <w:t>The Henry Grattan Monument by sculptor John Henry Foley with reinstate heritage lighting, maintains its prominent place within College Green. The middle ground of the image shows the Thomas Davis Monument by sculptor Edward Delaney given pride-of-place in front of the historic eighteenth-century Daly’s Clubhouse. A suggested arrangement of water jets and a circular reflecting pool at the crossing of Foster Place/Church Land and College Green offers an engaging touchpoint between user and landscape. The distant background shows a tree lined and generously planted Dame Street.</w:t>
      </w:r>
    </w:p>
    <w:p w14:paraId="64260D3E" w14:textId="77777777" w:rsidR="008C66DC" w:rsidRDefault="008C66DC">
      <w:pPr>
        <w:widowControl/>
        <w:tabs>
          <w:tab w:val="clear" w:pos="2820"/>
        </w:tabs>
        <w:autoSpaceDE/>
        <w:autoSpaceDN/>
        <w:spacing w:after="160" w:line="259" w:lineRule="auto"/>
        <w:jc w:val="left"/>
        <w:rPr>
          <w:lang w:val="en-IE"/>
        </w:rPr>
      </w:pPr>
      <w:r>
        <w:rPr>
          <w:lang w:val="en-IE"/>
        </w:rPr>
        <w:br w:type="page"/>
      </w:r>
    </w:p>
    <w:p w14:paraId="47936973" w14:textId="4785CB9E" w:rsidR="00BF6630" w:rsidRDefault="00BF6630" w:rsidP="00BF6630">
      <w:pPr>
        <w:rPr>
          <w:lang w:val="en-IE"/>
        </w:rPr>
      </w:pPr>
      <w:r>
        <w:rPr>
          <w:lang w:val="en-IE"/>
        </w:rPr>
        <w:t>Page 1</w:t>
      </w:r>
      <w:r w:rsidR="007E6A07">
        <w:rPr>
          <w:lang w:val="en-IE"/>
        </w:rPr>
        <w:t>5</w:t>
      </w:r>
    </w:p>
    <w:p w14:paraId="3C6EB351" w14:textId="77777777" w:rsidR="00BF6630" w:rsidRDefault="00BF6630" w:rsidP="00BF6630">
      <w:pPr>
        <w:rPr>
          <w:lang w:val="en-IE"/>
        </w:rPr>
      </w:pPr>
    </w:p>
    <w:p w14:paraId="6D3CFCB2" w14:textId="7F28495D" w:rsidR="005765D6" w:rsidRPr="005765D6" w:rsidRDefault="00846D39" w:rsidP="005765D6">
      <w:pPr>
        <w:pStyle w:val="Heading2"/>
        <w:rPr>
          <w:lang w:val="en-IE"/>
        </w:rPr>
      </w:pPr>
      <w:bookmarkStart w:id="11" w:name="_Toc221633827"/>
      <w:r>
        <w:rPr>
          <w:lang w:val="en-IE"/>
        </w:rPr>
        <w:t xml:space="preserve">Visual 2 - </w:t>
      </w:r>
      <w:r w:rsidR="005765D6">
        <w:rPr>
          <w:lang w:val="en-IE"/>
        </w:rPr>
        <w:t>College Green</w:t>
      </w:r>
      <w:bookmarkEnd w:id="11"/>
    </w:p>
    <w:p w14:paraId="7584110A" w14:textId="3794C317" w:rsidR="00215988" w:rsidRDefault="00215988" w:rsidP="00215988">
      <w:pPr>
        <w:rPr>
          <w:lang w:val="en-IE"/>
        </w:rPr>
      </w:pPr>
      <w:r>
        <w:rPr>
          <w:lang w:val="en-IE"/>
        </w:rPr>
        <w:t xml:space="preserve">Image displayed: </w:t>
      </w:r>
      <w:r w:rsidRPr="004A34B2">
        <w:rPr>
          <w:lang w:val="en-IE"/>
        </w:rPr>
        <w:t>The image</w:t>
      </w:r>
      <w:r>
        <w:rPr>
          <w:lang w:val="en-IE"/>
        </w:rPr>
        <w:t xml:space="preserve"> </w:t>
      </w:r>
      <w:r w:rsidRPr="004A34B2">
        <w:rPr>
          <w:lang w:val="en-IE"/>
        </w:rPr>
        <w:t>shows a daytime 3D visualisation of the Grow College Green Pre-planning Design from an eye-level perspective. The view is taken from the entrance to Foster Place looking south-eastwards towards the West Façade of Trinity College Dublin. The surrounding architecture is rendered white which allows the public realm improvements to come through in the image. The subject of the image is the large paved public space in front of the Bank of Ireland and Trinity College Dublin in the middle ground of the image. This public space, previously filled with traffic street clutter and other obstructions, is reimagined as an open place for people to gather, rest and connect; the image shows people walking, talking and sitting throughout the space. To the left-hand side of the foreground (north), the curved columnar façade of the Bank of Ireland comes into view and is framed by an existing mature tree. To the right-hand side of the middle ground (south) the ornate nineteenth-century bank buildings (now restaurants, shops, and banks) come into view between trees. The right foreground shows people engaging with the reflecting pool of water at the crossing point of Foster Place/Church Lane and College Green. The image shows a multitude of activities taking place. College Green is presented as a vibrant destination, a place to meet and linger.</w:t>
      </w:r>
    </w:p>
    <w:p w14:paraId="2E188285" w14:textId="77777777" w:rsidR="005765D6" w:rsidRDefault="005765D6" w:rsidP="00215988">
      <w:pPr>
        <w:rPr>
          <w:lang w:val="en-IE"/>
        </w:rPr>
      </w:pPr>
    </w:p>
    <w:p w14:paraId="0ECB840F" w14:textId="7452A7E9" w:rsidR="005765D6" w:rsidRPr="005765D6" w:rsidRDefault="00846D39" w:rsidP="005765D6">
      <w:pPr>
        <w:pStyle w:val="Heading2"/>
        <w:rPr>
          <w:lang w:val="en-IE"/>
        </w:rPr>
      </w:pPr>
      <w:bookmarkStart w:id="12" w:name="_Toc221633828"/>
      <w:r>
        <w:rPr>
          <w:lang w:val="en-IE"/>
        </w:rPr>
        <w:t xml:space="preserve">Visual 3 - </w:t>
      </w:r>
      <w:r w:rsidR="005765D6">
        <w:rPr>
          <w:lang w:val="en-IE"/>
        </w:rPr>
        <w:t>College Green</w:t>
      </w:r>
      <w:bookmarkEnd w:id="12"/>
    </w:p>
    <w:p w14:paraId="7433C23B" w14:textId="1DE6EEEE" w:rsidR="008C66DC" w:rsidRDefault="00215988" w:rsidP="00215988">
      <w:pPr>
        <w:rPr>
          <w:lang w:val="en-IE"/>
        </w:rPr>
      </w:pPr>
      <w:r w:rsidRPr="0095233B">
        <w:rPr>
          <w:lang w:val="en-IE"/>
        </w:rPr>
        <w:t xml:space="preserve">Image displayed: </w:t>
      </w:r>
      <w:r w:rsidRPr="00E13FA9">
        <w:rPr>
          <w:lang w:val="en-IE"/>
        </w:rPr>
        <w:t>The image shows a daytime 3D visualisation of the Grow College Green Pre-planning Design from an eye-level perspective. The view is taken from the east end of College Green looking south-westwards towards Dame Street in the distance. The surrounding architecture is rendered white to allow the public realm improvements and vibrant daily activities to come through in the image. The subject of the image is the large public space in front of the Bank of Ireland and Trinity College Dublin in the foreground of the image. This paved public space, previously filled with traffic street clutter and other obstructions, is reimagined as an open place for people to gather, rest and connect; the image shows people walking, talking and sitting throughout the space. To the right-hand side of the foreground (north), the Bank of Ireland comes into view. To the left-hand side of the foreground (south) the ornate nineteenth-century bank buildings (now restaurants, shops, and banks) come into view between newly placed trees, seating and planters. With the removal of much street clutter, the Henry Grattan Monument by sculptor John Henry Foley is better appreciated by locals and tourists alike. It is presented with reinstate heritage lighting. The image shows a multitude of activities taking place; friends meeting, children playing, and shoppers browsing. College Green is abuzz with people.</w:t>
      </w:r>
    </w:p>
    <w:p w14:paraId="3F68E70B" w14:textId="77777777" w:rsidR="008C66DC" w:rsidRDefault="008C66DC">
      <w:pPr>
        <w:widowControl/>
        <w:tabs>
          <w:tab w:val="clear" w:pos="2820"/>
        </w:tabs>
        <w:autoSpaceDE/>
        <w:autoSpaceDN/>
        <w:spacing w:after="160" w:line="259" w:lineRule="auto"/>
        <w:jc w:val="left"/>
        <w:rPr>
          <w:lang w:val="en-IE"/>
        </w:rPr>
      </w:pPr>
      <w:r>
        <w:rPr>
          <w:lang w:val="en-IE"/>
        </w:rPr>
        <w:br w:type="page"/>
      </w:r>
    </w:p>
    <w:p w14:paraId="645164C9" w14:textId="46592EF4" w:rsidR="00BF6630" w:rsidRDefault="00BF6630" w:rsidP="00BF6630">
      <w:pPr>
        <w:rPr>
          <w:lang w:val="en-IE"/>
        </w:rPr>
      </w:pPr>
      <w:r>
        <w:rPr>
          <w:lang w:val="en-IE"/>
        </w:rPr>
        <w:t>Page 1</w:t>
      </w:r>
      <w:r w:rsidR="007E6A07">
        <w:rPr>
          <w:lang w:val="en-IE"/>
        </w:rPr>
        <w:t>6</w:t>
      </w:r>
    </w:p>
    <w:p w14:paraId="33756652" w14:textId="77777777" w:rsidR="00BF6630" w:rsidRDefault="00BF6630" w:rsidP="00BF6630">
      <w:pPr>
        <w:rPr>
          <w:lang w:val="en-IE"/>
        </w:rPr>
      </w:pPr>
    </w:p>
    <w:p w14:paraId="7575AD3F" w14:textId="7DE20E74" w:rsidR="005765D6" w:rsidRPr="005765D6" w:rsidRDefault="00846D39" w:rsidP="005765D6">
      <w:pPr>
        <w:pStyle w:val="Heading2"/>
        <w:rPr>
          <w:lang w:val="en-IE"/>
        </w:rPr>
      </w:pPr>
      <w:bookmarkStart w:id="13" w:name="_Toc221633829"/>
      <w:r>
        <w:rPr>
          <w:lang w:val="en-IE"/>
        </w:rPr>
        <w:t xml:space="preserve">Visual 4 - </w:t>
      </w:r>
      <w:r w:rsidR="005765D6">
        <w:rPr>
          <w:lang w:val="en-IE"/>
        </w:rPr>
        <w:t>Dame Street</w:t>
      </w:r>
      <w:bookmarkEnd w:id="13"/>
    </w:p>
    <w:p w14:paraId="5719AE2F" w14:textId="3C8EB08C" w:rsidR="00215988" w:rsidRDefault="008C66DC" w:rsidP="00215988">
      <w:pPr>
        <w:rPr>
          <w:noProof/>
        </w:rPr>
      </w:pPr>
      <w:r>
        <w:rPr>
          <w:lang w:val="en-IE"/>
        </w:rPr>
        <w:t>I</w:t>
      </w:r>
      <w:r w:rsidR="00215988">
        <w:rPr>
          <w:lang w:val="en-IE"/>
        </w:rPr>
        <w:t xml:space="preserve">mage displayed: The </w:t>
      </w:r>
      <w:r w:rsidR="00215988" w:rsidRPr="004A34B2">
        <w:rPr>
          <w:lang w:val="en-IE"/>
        </w:rPr>
        <w:t xml:space="preserve">image </w:t>
      </w:r>
      <w:r w:rsidR="00215988">
        <w:rPr>
          <w:lang w:val="en-IE"/>
        </w:rPr>
        <w:t>shows</w:t>
      </w:r>
      <w:r w:rsidR="00215988" w:rsidRPr="004A34B2">
        <w:rPr>
          <w:lang w:val="en-IE"/>
        </w:rPr>
        <w:t xml:space="preserve"> a daytime 3D visualisation of the Grow College Green Pre-planning Design from an eye-level perspective. The</w:t>
      </w:r>
      <w:r w:rsidR="00215988" w:rsidRPr="004A34B2">
        <w:rPr>
          <w:noProof/>
        </w:rPr>
        <w:t xml:space="preserve"> view is taken from Central Plaza looking westwards to Dame Street. </w:t>
      </w:r>
      <w:r w:rsidR="00215988" w:rsidRPr="004A34B2">
        <w:rPr>
          <w:lang w:val="en-IE"/>
        </w:rPr>
        <w:t>The surrounding architecture is rendered white allows the public realm improvements to come through in the image.</w:t>
      </w:r>
      <w:r w:rsidR="00215988" w:rsidRPr="004A34B2">
        <w:rPr>
          <w:noProof/>
        </w:rPr>
        <w:t xml:space="preserve"> The green landscaped corridor proposed for Dame Street is the focal point of the image. From this perspective the green corridor appears as a linear park centred and aligned with Dame Street, vanishing in the distance. A variety of trees, flowers, and leafy groundcovers fill the linear park resembling natural groves. The foreground of the image shows how the linear green lifts up into the tree canopy to allow for a pedestrian crossing point and an unbroken chain of greenery Children play with water jets and on a grassy lawn in the foreground. Amid the pockets of planting, solid benches along the edge of the landscaped areas invite users to sit and take a moment to pause, have their lunch or read a book. Despite the calming qualities of the linear park, Dame Street remains abuzz with pedestrian activity owing to generous pedestrian comfort zones along building fronts; shoppers explore a wide range of retail units, friends greet each other at Central Plaza, and wait staff serve drinks on a lively bar terrace.</w:t>
      </w:r>
    </w:p>
    <w:p w14:paraId="7E9E2211" w14:textId="77777777" w:rsidR="008C66DC" w:rsidRDefault="008C66DC" w:rsidP="00215988">
      <w:pPr>
        <w:rPr>
          <w:noProof/>
        </w:rPr>
      </w:pPr>
    </w:p>
    <w:p w14:paraId="3E9866C2" w14:textId="6E5A8B92" w:rsidR="005765D6" w:rsidRPr="005765D6" w:rsidRDefault="00846D39" w:rsidP="005765D6">
      <w:pPr>
        <w:pStyle w:val="Heading2"/>
        <w:rPr>
          <w:lang w:val="en-IE"/>
        </w:rPr>
      </w:pPr>
      <w:bookmarkStart w:id="14" w:name="_Toc221633830"/>
      <w:r>
        <w:rPr>
          <w:lang w:val="en-IE"/>
        </w:rPr>
        <w:t xml:space="preserve">Visual 5 - </w:t>
      </w:r>
      <w:r w:rsidR="005765D6">
        <w:rPr>
          <w:lang w:val="en-IE"/>
        </w:rPr>
        <w:t>Dame Street</w:t>
      </w:r>
      <w:bookmarkEnd w:id="14"/>
    </w:p>
    <w:p w14:paraId="1700E3B8" w14:textId="2D577556" w:rsidR="00A61E64" w:rsidRPr="005765D6" w:rsidRDefault="00215988" w:rsidP="00E95644">
      <w:r>
        <w:rPr>
          <w:lang w:val="en-IE"/>
        </w:rPr>
        <w:t xml:space="preserve">Image displayed: </w:t>
      </w:r>
      <w:r w:rsidRPr="00876031">
        <w:rPr>
          <w:lang w:val="en-IE"/>
        </w:rPr>
        <w:t>The image shows a daytime 3D visualisation of the Grow College Green Pre-planning Design from an eye-level perspective. The</w:t>
      </w:r>
      <w:r w:rsidRPr="00876031">
        <w:t xml:space="preserve"> view is taken from Dame Street looking eastwards to the Central Plaza and College Green. </w:t>
      </w:r>
      <w:r w:rsidRPr="00876031">
        <w:rPr>
          <w:lang w:val="en-IE"/>
        </w:rPr>
        <w:t>The surrounding architecture is rendered white allows the public realm improvements to come through in the image.</w:t>
      </w:r>
      <w:r w:rsidRPr="00876031">
        <w:t xml:space="preserve"> The green corridor proposed for Dame Street is the focal point of the image. From this perspective the green corridor appears as a linear park centred and aligned with Dame Street, vanishing in the distance. A variety of trees, flowers, and leafy groundcovers fill the linear park transforming the quality of Dame Street. The foreground of the image shows how the footpath on the north side of Dame Street steps into the linear green creating opportunities for café/restaurant terrace seating, public seating,</w:t>
      </w:r>
      <w:r>
        <w:t xml:space="preserve"> </w:t>
      </w:r>
      <w:r w:rsidRPr="00876031">
        <w:t>and incidental play. Dame Street remains abuzz with pedestrian activity owing to generous pedestrian comfort zones along building fronts; shoppers explore retail units, friends greet each other at Central Plaza, and wait staff serve drinks on a lively bar terrace. Just beyond the linear green the ‘access route’ is used by cyclists, the pedestrian zones are separated from the cyclists by raised planters and kerbs.</w:t>
      </w:r>
    </w:p>
    <w:sectPr w:rsidR="00A61E64" w:rsidRPr="005765D6" w:rsidSect="00D95D1E">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3BC37E" w14:textId="77777777" w:rsidR="000C38E0" w:rsidRDefault="000C38E0" w:rsidP="007B5928">
      <w:r>
        <w:separator/>
      </w:r>
    </w:p>
  </w:endnote>
  <w:endnote w:type="continuationSeparator" w:id="0">
    <w:p w14:paraId="142544A6" w14:textId="77777777" w:rsidR="000C38E0" w:rsidRDefault="000C38E0" w:rsidP="007B59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NeueLT Std Lt">
    <w:altName w:val="Arial"/>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4A7664B2-4566-4451-A60B-2B390BEA23B8}"/>
    <w:embedBold r:id="rId2" w:fontKey="{BDCA991C-1BC3-400B-AAA0-B0F57BBE0E15}"/>
  </w:font>
  <w:font w:name="Dashiell Text">
    <w:altName w:val="Calibri"/>
    <w:panose1 w:val="00000000000000000000"/>
    <w:charset w:val="00"/>
    <w:family w:val="modern"/>
    <w:notTrueType/>
    <w:pitch w:val="variable"/>
    <w:sig w:usb0="A000007F" w:usb1="4200C06A" w:usb2="00000000" w:usb3="00000000" w:csb0="00000093" w:csb1="00000000"/>
  </w:font>
  <w:font w:name="Ballinger Bold">
    <w:altName w:val="Calibri"/>
    <w:panose1 w:val="00000000000000000000"/>
    <w:charset w:val="00"/>
    <w:family w:val="modern"/>
    <w:notTrueType/>
    <w:pitch w:val="variable"/>
    <w:sig w:usb0="A000027F" w:usb1="4000406A" w:usb2="00000000" w:usb3="00000000" w:csb0="00000197" w:csb1="00000000"/>
  </w:font>
  <w:font w:name="HelveticaNeueLT Std Me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200247B" w:usb2="00000009" w:usb3="00000000" w:csb0="000001FF" w:csb1="00000000"/>
    <w:embedRegular r:id="rId3" w:fontKey="{42683180-ACFE-4983-B35A-8B6CBD7DB2CD}"/>
  </w:font>
  <w:font w:name="Ballinger Medium">
    <w:altName w:val="Calibri"/>
    <w:panose1 w:val="00000000000000000000"/>
    <w:charset w:val="00"/>
    <w:family w:val="modern"/>
    <w:notTrueType/>
    <w:pitch w:val="variable"/>
    <w:sig w:usb0="A000027F" w:usb1="4000406A" w:usb2="00000000" w:usb3="00000000" w:csb0="00000197" w:csb1="00000000"/>
  </w:font>
  <w:font w:name="Ballinger Black">
    <w:altName w:val="Calibri"/>
    <w:panose1 w:val="00000000000000000000"/>
    <w:charset w:val="00"/>
    <w:family w:val="modern"/>
    <w:notTrueType/>
    <w:pitch w:val="variable"/>
    <w:sig w:usb0="A000027F" w:usb1="4000406A"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CE1D52" w14:textId="77777777" w:rsidR="008E554C" w:rsidRDefault="008E554C" w:rsidP="007B59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1D050" w14:textId="77777777" w:rsidR="004E56B2" w:rsidRDefault="004E56B2" w:rsidP="007B59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F8AFD1" w14:textId="77777777" w:rsidR="000C38E0" w:rsidRDefault="000C38E0" w:rsidP="007B5928">
      <w:r>
        <w:separator/>
      </w:r>
    </w:p>
  </w:footnote>
  <w:footnote w:type="continuationSeparator" w:id="0">
    <w:p w14:paraId="239FD557" w14:textId="77777777" w:rsidR="000C38E0" w:rsidRDefault="000C38E0" w:rsidP="007B59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9E5F4" w14:textId="20D07F41" w:rsidR="008E554C" w:rsidRPr="00694114" w:rsidRDefault="008E554C" w:rsidP="006941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C2EBA"/>
    <w:multiLevelType w:val="hybridMultilevel"/>
    <w:tmpl w:val="3968D24A"/>
    <w:lvl w:ilvl="0" w:tplc="EC5C041A">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2C55D0C"/>
    <w:multiLevelType w:val="multilevel"/>
    <w:tmpl w:val="E0D84DDA"/>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2" w15:restartNumberingAfterBreak="0">
    <w:nsid w:val="047B19BA"/>
    <w:multiLevelType w:val="multilevel"/>
    <w:tmpl w:val="6AFA4FA8"/>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3" w15:restartNumberingAfterBreak="0">
    <w:nsid w:val="04A00C87"/>
    <w:multiLevelType w:val="multilevel"/>
    <w:tmpl w:val="9B708E4C"/>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4" w15:restartNumberingAfterBreak="0">
    <w:nsid w:val="04EC046D"/>
    <w:multiLevelType w:val="hybridMultilevel"/>
    <w:tmpl w:val="FB601F4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058F69B1"/>
    <w:multiLevelType w:val="hybridMultilevel"/>
    <w:tmpl w:val="F6BE787C"/>
    <w:lvl w:ilvl="0" w:tplc="BD527BEA">
      <w:numFmt w:val="bullet"/>
      <w:pStyle w:val="BulletsQuote"/>
      <w:suff w:val="space"/>
      <w:lvlText w:val="•"/>
      <w:lvlJc w:val="left"/>
      <w:pPr>
        <w:ind w:left="284" w:firstLine="0"/>
      </w:pPr>
      <w:rPr>
        <w:rFonts w:ascii="HelveticaNeueLT Std Lt" w:eastAsia="Arial" w:hAnsi="HelveticaNeueLT Std Lt"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B532A81"/>
    <w:multiLevelType w:val="multilevel"/>
    <w:tmpl w:val="9B80FECA"/>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7" w15:restartNumberingAfterBreak="0">
    <w:nsid w:val="13C64872"/>
    <w:multiLevelType w:val="hybridMultilevel"/>
    <w:tmpl w:val="69E28F3E"/>
    <w:lvl w:ilvl="0" w:tplc="DA72E9F0">
      <w:start w:val="1"/>
      <w:numFmt w:val="decimal"/>
      <w:pStyle w:val="Bullets-Numbererd"/>
      <w:suff w:val="space"/>
      <w:lvlText w:val="%1."/>
      <w:lvlJc w:val="left"/>
      <w:pPr>
        <w:ind w:left="284" w:firstLine="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3D03F06"/>
    <w:multiLevelType w:val="multilevel"/>
    <w:tmpl w:val="3942E72E"/>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9" w15:restartNumberingAfterBreak="0">
    <w:nsid w:val="14536F9D"/>
    <w:multiLevelType w:val="multilevel"/>
    <w:tmpl w:val="2E84ECFE"/>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0" w15:restartNumberingAfterBreak="0">
    <w:nsid w:val="14DF6218"/>
    <w:multiLevelType w:val="hybridMultilevel"/>
    <w:tmpl w:val="ADC8839E"/>
    <w:lvl w:ilvl="0" w:tplc="52CA7302">
      <w:start w:val="1"/>
      <w:numFmt w:val="decimal"/>
      <w:lvlText w:val="%1."/>
      <w:lvlJc w:val="left"/>
      <w:pPr>
        <w:ind w:left="3180" w:hanging="28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7A67DF0"/>
    <w:multiLevelType w:val="multilevel"/>
    <w:tmpl w:val="4246CC00"/>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2" w15:restartNumberingAfterBreak="0">
    <w:nsid w:val="184F3677"/>
    <w:multiLevelType w:val="hybridMultilevel"/>
    <w:tmpl w:val="E50CB6AA"/>
    <w:lvl w:ilvl="0" w:tplc="0C30E2D4">
      <w:numFmt w:val="bullet"/>
      <w:lvlText w:val="•"/>
      <w:lvlJc w:val="left"/>
      <w:pPr>
        <w:ind w:left="284" w:firstLine="0"/>
      </w:pPr>
      <w:rPr>
        <w:rFonts w:ascii="HelveticaNeueLT Std Lt" w:eastAsia="Arial" w:hAnsi="HelveticaNeueLT Std Lt"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AF67E20"/>
    <w:multiLevelType w:val="multilevel"/>
    <w:tmpl w:val="1F44FA9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B302D36"/>
    <w:multiLevelType w:val="hybridMultilevel"/>
    <w:tmpl w:val="3AE02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D061E8F"/>
    <w:multiLevelType w:val="multilevel"/>
    <w:tmpl w:val="3A82DC6C"/>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6" w15:restartNumberingAfterBreak="0">
    <w:nsid w:val="20226A05"/>
    <w:multiLevelType w:val="hybridMultilevel"/>
    <w:tmpl w:val="69C06F3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215C0C29"/>
    <w:multiLevelType w:val="multilevel"/>
    <w:tmpl w:val="508C5E36"/>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8" w15:restartNumberingAfterBreak="0">
    <w:nsid w:val="223F01C8"/>
    <w:multiLevelType w:val="multilevel"/>
    <w:tmpl w:val="7D886C6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6746CC3"/>
    <w:multiLevelType w:val="multilevel"/>
    <w:tmpl w:val="8DAA1D94"/>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20" w15:restartNumberingAfterBreak="0">
    <w:nsid w:val="2B7140BD"/>
    <w:multiLevelType w:val="multilevel"/>
    <w:tmpl w:val="B5A40452"/>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21" w15:restartNumberingAfterBreak="0">
    <w:nsid w:val="2FAF0393"/>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0B6032E"/>
    <w:multiLevelType w:val="multilevel"/>
    <w:tmpl w:val="78C8F6D6"/>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23" w15:restartNumberingAfterBreak="0">
    <w:nsid w:val="342C2D4F"/>
    <w:multiLevelType w:val="multilevel"/>
    <w:tmpl w:val="28D61774"/>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4" w15:restartNumberingAfterBreak="0">
    <w:nsid w:val="36C3250C"/>
    <w:multiLevelType w:val="multilevel"/>
    <w:tmpl w:val="39E4598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8F07E74"/>
    <w:multiLevelType w:val="multilevel"/>
    <w:tmpl w:val="06B23356"/>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26" w15:restartNumberingAfterBreak="0">
    <w:nsid w:val="39CA37C2"/>
    <w:multiLevelType w:val="multilevel"/>
    <w:tmpl w:val="8EE6B8B4"/>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27" w15:restartNumberingAfterBreak="0">
    <w:nsid w:val="3D3569A2"/>
    <w:multiLevelType w:val="multilevel"/>
    <w:tmpl w:val="56FEDD38"/>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28" w15:restartNumberingAfterBreak="0">
    <w:nsid w:val="3D3D116C"/>
    <w:multiLevelType w:val="multilevel"/>
    <w:tmpl w:val="45509D38"/>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29" w15:restartNumberingAfterBreak="0">
    <w:nsid w:val="40E66D2A"/>
    <w:multiLevelType w:val="multilevel"/>
    <w:tmpl w:val="39E4598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63F278B"/>
    <w:multiLevelType w:val="multilevel"/>
    <w:tmpl w:val="50DC6D6C"/>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31" w15:restartNumberingAfterBreak="0">
    <w:nsid w:val="4CDC50B2"/>
    <w:multiLevelType w:val="hybridMultilevel"/>
    <w:tmpl w:val="7B144AD4"/>
    <w:lvl w:ilvl="0" w:tplc="B414D4A6">
      <w:start w:val="2"/>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2" w15:restartNumberingAfterBreak="0">
    <w:nsid w:val="54591C9C"/>
    <w:multiLevelType w:val="multilevel"/>
    <w:tmpl w:val="9AAA1312"/>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33" w15:restartNumberingAfterBreak="0">
    <w:nsid w:val="63335965"/>
    <w:multiLevelType w:val="multilevel"/>
    <w:tmpl w:val="A39C35AC"/>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34" w15:restartNumberingAfterBreak="0">
    <w:nsid w:val="67E3420C"/>
    <w:multiLevelType w:val="multilevel"/>
    <w:tmpl w:val="3FD07CA6"/>
    <w:lvl w:ilvl="0">
      <w:start w:val="1"/>
      <w:numFmt w:val="decimal"/>
      <w:pStyle w:val="Heading1"/>
      <w:lvlText w:val="%1."/>
      <w:lvlJc w:val="left"/>
      <w:pPr>
        <w:ind w:left="644" w:hanging="360"/>
      </w:pPr>
    </w:lvl>
    <w:lvl w:ilvl="1">
      <w:start w:val="1"/>
      <w:numFmt w:val="decimal"/>
      <w:pStyle w:val="Heading2"/>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97A3B83"/>
    <w:multiLevelType w:val="multilevel"/>
    <w:tmpl w:val="8C228F94"/>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36" w15:restartNumberingAfterBreak="0">
    <w:nsid w:val="6AF160BD"/>
    <w:multiLevelType w:val="multilevel"/>
    <w:tmpl w:val="F8AA27A6"/>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37" w15:restartNumberingAfterBreak="0">
    <w:nsid w:val="6F630423"/>
    <w:multiLevelType w:val="multilevel"/>
    <w:tmpl w:val="D9701776"/>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38" w15:restartNumberingAfterBreak="0">
    <w:nsid w:val="7342075D"/>
    <w:multiLevelType w:val="multilevel"/>
    <w:tmpl w:val="70249DAA"/>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39" w15:restartNumberingAfterBreak="0">
    <w:nsid w:val="79CB373F"/>
    <w:multiLevelType w:val="hybridMultilevel"/>
    <w:tmpl w:val="0448A396"/>
    <w:lvl w:ilvl="0" w:tplc="B63A61FE">
      <w:numFmt w:val="bullet"/>
      <w:suff w:val="space"/>
      <w:lvlText w:val="•"/>
      <w:lvlJc w:val="left"/>
      <w:pPr>
        <w:ind w:left="284" w:firstLine="0"/>
      </w:pPr>
      <w:rPr>
        <w:rFonts w:ascii="HelveticaNeueLT Std Lt" w:eastAsia="Arial" w:hAnsi="HelveticaNeueLT Std Lt"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9DC3006"/>
    <w:multiLevelType w:val="hybridMultilevel"/>
    <w:tmpl w:val="E17609CE"/>
    <w:lvl w:ilvl="0" w:tplc="AEB26E38">
      <w:start w:val="1"/>
      <w:numFmt w:val="bullet"/>
      <w:lvlText w:val="-"/>
      <w:lvlJc w:val="left"/>
      <w:pPr>
        <w:ind w:left="720" w:hanging="360"/>
      </w:pPr>
      <w:rPr>
        <w:rFonts w:ascii="HelveticaNeueLT Std Lt" w:eastAsia="Arial" w:hAnsi="HelveticaNeueLT Std Lt"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498880615">
    <w:abstractNumId w:val="14"/>
  </w:num>
  <w:num w:numId="2" w16cid:durableId="1378355833">
    <w:abstractNumId w:val="39"/>
  </w:num>
  <w:num w:numId="3" w16cid:durableId="1732725061">
    <w:abstractNumId w:val="10"/>
  </w:num>
  <w:num w:numId="4" w16cid:durableId="1039865112">
    <w:abstractNumId w:val="12"/>
  </w:num>
  <w:num w:numId="5" w16cid:durableId="2114592851">
    <w:abstractNumId w:val="5"/>
  </w:num>
  <w:num w:numId="6" w16cid:durableId="126822197">
    <w:abstractNumId w:val="7"/>
  </w:num>
  <w:num w:numId="7" w16cid:durableId="1347715067">
    <w:abstractNumId w:val="32"/>
  </w:num>
  <w:num w:numId="8" w16cid:durableId="455871717">
    <w:abstractNumId w:val="9"/>
  </w:num>
  <w:num w:numId="9" w16cid:durableId="1314022392">
    <w:abstractNumId w:val="38"/>
  </w:num>
  <w:num w:numId="10" w16cid:durableId="2127888515">
    <w:abstractNumId w:val="30"/>
  </w:num>
  <w:num w:numId="11" w16cid:durableId="1308625272">
    <w:abstractNumId w:val="28"/>
  </w:num>
  <w:num w:numId="12" w16cid:durableId="1660428931">
    <w:abstractNumId w:val="22"/>
  </w:num>
  <w:num w:numId="13" w16cid:durableId="1001278097">
    <w:abstractNumId w:val="25"/>
  </w:num>
  <w:num w:numId="14" w16cid:durableId="1618293010">
    <w:abstractNumId w:val="11"/>
  </w:num>
  <w:num w:numId="15" w16cid:durableId="920262112">
    <w:abstractNumId w:val="20"/>
  </w:num>
  <w:num w:numId="16" w16cid:durableId="1735816450">
    <w:abstractNumId w:val="3"/>
  </w:num>
  <w:num w:numId="17" w16cid:durableId="637153552">
    <w:abstractNumId w:val="36"/>
  </w:num>
  <w:num w:numId="18" w16cid:durableId="1783181723">
    <w:abstractNumId w:val="33"/>
  </w:num>
  <w:num w:numId="19" w16cid:durableId="1074936923">
    <w:abstractNumId w:val="35"/>
  </w:num>
  <w:num w:numId="20" w16cid:durableId="1111323047">
    <w:abstractNumId w:val="37"/>
  </w:num>
  <w:num w:numId="21" w16cid:durableId="1988315567">
    <w:abstractNumId w:val="15"/>
  </w:num>
  <w:num w:numId="22" w16cid:durableId="2020620230">
    <w:abstractNumId w:val="8"/>
  </w:num>
  <w:num w:numId="23" w16cid:durableId="1918244835">
    <w:abstractNumId w:val="2"/>
  </w:num>
  <w:num w:numId="24" w16cid:durableId="471408897">
    <w:abstractNumId w:val="17"/>
  </w:num>
  <w:num w:numId="25" w16cid:durableId="1704865105">
    <w:abstractNumId w:val="26"/>
  </w:num>
  <w:num w:numId="26" w16cid:durableId="998995337">
    <w:abstractNumId w:val="6"/>
  </w:num>
  <w:num w:numId="27" w16cid:durableId="1221205797">
    <w:abstractNumId w:val="1"/>
  </w:num>
  <w:num w:numId="28" w16cid:durableId="279844785">
    <w:abstractNumId w:val="27"/>
  </w:num>
  <w:num w:numId="29" w16cid:durableId="362677782">
    <w:abstractNumId w:val="19"/>
  </w:num>
  <w:num w:numId="30" w16cid:durableId="984240743">
    <w:abstractNumId w:val="0"/>
  </w:num>
  <w:num w:numId="31" w16cid:durableId="1975795567">
    <w:abstractNumId w:val="24"/>
  </w:num>
  <w:num w:numId="32" w16cid:durableId="1199733988">
    <w:abstractNumId w:val="13"/>
  </w:num>
  <w:num w:numId="33" w16cid:durableId="2081559203">
    <w:abstractNumId w:val="21"/>
  </w:num>
  <w:num w:numId="34" w16cid:durableId="1856189549">
    <w:abstractNumId w:val="34"/>
  </w:num>
  <w:num w:numId="35" w16cid:durableId="1169367570">
    <w:abstractNumId w:val="23"/>
  </w:num>
  <w:num w:numId="36" w16cid:durableId="1224683524">
    <w:abstractNumId w:val="29"/>
  </w:num>
  <w:num w:numId="37" w16cid:durableId="1942302163">
    <w:abstractNumId w:val="18"/>
  </w:num>
  <w:num w:numId="38" w16cid:durableId="771247732">
    <w:abstractNumId w:val="4"/>
  </w:num>
  <w:num w:numId="39" w16cid:durableId="1350984070">
    <w:abstractNumId w:val="16"/>
  </w:num>
  <w:num w:numId="40" w16cid:durableId="360086121">
    <w:abstractNumId w:val="40"/>
  </w:num>
  <w:num w:numId="41" w16cid:durableId="73940457">
    <w:abstractNumId w:val="31"/>
  </w:num>
  <w:num w:numId="42" w16cid:durableId="48840677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54830351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23007264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48964354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56121127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92276327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86050660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68108435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67727081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2481"/>
    <w:rsid w:val="0000176D"/>
    <w:rsid w:val="000030BA"/>
    <w:rsid w:val="00005A42"/>
    <w:rsid w:val="00005D5C"/>
    <w:rsid w:val="00021282"/>
    <w:rsid w:val="00023470"/>
    <w:rsid w:val="00030905"/>
    <w:rsid w:val="0003201B"/>
    <w:rsid w:val="00036458"/>
    <w:rsid w:val="00044A29"/>
    <w:rsid w:val="00054D50"/>
    <w:rsid w:val="00057336"/>
    <w:rsid w:val="00057977"/>
    <w:rsid w:val="0006701C"/>
    <w:rsid w:val="00067C46"/>
    <w:rsid w:val="0007258F"/>
    <w:rsid w:val="000742C3"/>
    <w:rsid w:val="00075E8A"/>
    <w:rsid w:val="00077165"/>
    <w:rsid w:val="000823B9"/>
    <w:rsid w:val="00084D4E"/>
    <w:rsid w:val="00094922"/>
    <w:rsid w:val="00096C12"/>
    <w:rsid w:val="000A03AF"/>
    <w:rsid w:val="000A3791"/>
    <w:rsid w:val="000B4053"/>
    <w:rsid w:val="000B57DC"/>
    <w:rsid w:val="000B57DE"/>
    <w:rsid w:val="000C007F"/>
    <w:rsid w:val="000C38E0"/>
    <w:rsid w:val="000C41F4"/>
    <w:rsid w:val="000D0795"/>
    <w:rsid w:val="000D1312"/>
    <w:rsid w:val="000D1C4B"/>
    <w:rsid w:val="000D4567"/>
    <w:rsid w:val="000D632D"/>
    <w:rsid w:val="000E45FD"/>
    <w:rsid w:val="000F00B0"/>
    <w:rsid w:val="000F2FF6"/>
    <w:rsid w:val="000F4A09"/>
    <w:rsid w:val="000F55F8"/>
    <w:rsid w:val="000F6B7E"/>
    <w:rsid w:val="00100F96"/>
    <w:rsid w:val="001025A8"/>
    <w:rsid w:val="001025CF"/>
    <w:rsid w:val="00115DF6"/>
    <w:rsid w:val="0011739A"/>
    <w:rsid w:val="00124824"/>
    <w:rsid w:val="0013544E"/>
    <w:rsid w:val="001371CE"/>
    <w:rsid w:val="00137AD7"/>
    <w:rsid w:val="001432CF"/>
    <w:rsid w:val="0014356C"/>
    <w:rsid w:val="00147121"/>
    <w:rsid w:val="00150A91"/>
    <w:rsid w:val="0016015E"/>
    <w:rsid w:val="001639C8"/>
    <w:rsid w:val="0016688D"/>
    <w:rsid w:val="00167855"/>
    <w:rsid w:val="00173DB1"/>
    <w:rsid w:val="001754E8"/>
    <w:rsid w:val="0017573F"/>
    <w:rsid w:val="00181F3A"/>
    <w:rsid w:val="0018449C"/>
    <w:rsid w:val="0019269F"/>
    <w:rsid w:val="00194FD5"/>
    <w:rsid w:val="001964F7"/>
    <w:rsid w:val="001B7BDA"/>
    <w:rsid w:val="001C012B"/>
    <w:rsid w:val="001C1087"/>
    <w:rsid w:val="001C49E5"/>
    <w:rsid w:val="001C4AF8"/>
    <w:rsid w:val="001C672C"/>
    <w:rsid w:val="001C7A6D"/>
    <w:rsid w:val="001C7D3B"/>
    <w:rsid w:val="001D0C60"/>
    <w:rsid w:val="001D464C"/>
    <w:rsid w:val="001D47AD"/>
    <w:rsid w:val="001D5348"/>
    <w:rsid w:val="001E1466"/>
    <w:rsid w:val="001E2009"/>
    <w:rsid w:val="001E3B9F"/>
    <w:rsid w:val="001E6E74"/>
    <w:rsid w:val="001E7878"/>
    <w:rsid w:val="001F353D"/>
    <w:rsid w:val="001F74E8"/>
    <w:rsid w:val="00200D24"/>
    <w:rsid w:val="00200FA9"/>
    <w:rsid w:val="002040E9"/>
    <w:rsid w:val="002052A1"/>
    <w:rsid w:val="00207155"/>
    <w:rsid w:val="002138AE"/>
    <w:rsid w:val="00215143"/>
    <w:rsid w:val="00215988"/>
    <w:rsid w:val="00215C68"/>
    <w:rsid w:val="0021604C"/>
    <w:rsid w:val="0022071A"/>
    <w:rsid w:val="002231BE"/>
    <w:rsid w:val="002234A3"/>
    <w:rsid w:val="00223E11"/>
    <w:rsid w:val="00226A41"/>
    <w:rsid w:val="00226BDF"/>
    <w:rsid w:val="00233386"/>
    <w:rsid w:val="00235144"/>
    <w:rsid w:val="00236587"/>
    <w:rsid w:val="002431CF"/>
    <w:rsid w:val="00244165"/>
    <w:rsid w:val="00252EE4"/>
    <w:rsid w:val="0025431B"/>
    <w:rsid w:val="00257966"/>
    <w:rsid w:val="00260E97"/>
    <w:rsid w:val="00262DF5"/>
    <w:rsid w:val="0026540B"/>
    <w:rsid w:val="00267E8C"/>
    <w:rsid w:val="0027001B"/>
    <w:rsid w:val="0027451D"/>
    <w:rsid w:val="0028059F"/>
    <w:rsid w:val="00284C12"/>
    <w:rsid w:val="002931B2"/>
    <w:rsid w:val="00296338"/>
    <w:rsid w:val="002A46EF"/>
    <w:rsid w:val="002A4D46"/>
    <w:rsid w:val="002B4857"/>
    <w:rsid w:val="002B4E94"/>
    <w:rsid w:val="002B529E"/>
    <w:rsid w:val="002C1555"/>
    <w:rsid w:val="002C542A"/>
    <w:rsid w:val="002C60FA"/>
    <w:rsid w:val="002C7421"/>
    <w:rsid w:val="002C78D5"/>
    <w:rsid w:val="002C7C90"/>
    <w:rsid w:val="002D1CC0"/>
    <w:rsid w:val="002D29A7"/>
    <w:rsid w:val="002D4581"/>
    <w:rsid w:val="002E21D1"/>
    <w:rsid w:val="002E4E73"/>
    <w:rsid w:val="002E73FE"/>
    <w:rsid w:val="002F45FB"/>
    <w:rsid w:val="002F4ACC"/>
    <w:rsid w:val="002F50ED"/>
    <w:rsid w:val="002F7AE0"/>
    <w:rsid w:val="003046D7"/>
    <w:rsid w:val="00305C40"/>
    <w:rsid w:val="00307A51"/>
    <w:rsid w:val="0031209C"/>
    <w:rsid w:val="003123CD"/>
    <w:rsid w:val="00312481"/>
    <w:rsid w:val="00321947"/>
    <w:rsid w:val="00324BC1"/>
    <w:rsid w:val="003253E2"/>
    <w:rsid w:val="00332840"/>
    <w:rsid w:val="00332E7A"/>
    <w:rsid w:val="00334E73"/>
    <w:rsid w:val="003359D0"/>
    <w:rsid w:val="00335B07"/>
    <w:rsid w:val="00336F80"/>
    <w:rsid w:val="0035147C"/>
    <w:rsid w:val="00351A32"/>
    <w:rsid w:val="00352409"/>
    <w:rsid w:val="0035625A"/>
    <w:rsid w:val="00356412"/>
    <w:rsid w:val="003616A2"/>
    <w:rsid w:val="00361CDB"/>
    <w:rsid w:val="00365126"/>
    <w:rsid w:val="003658FC"/>
    <w:rsid w:val="00366A60"/>
    <w:rsid w:val="003670ED"/>
    <w:rsid w:val="0036768B"/>
    <w:rsid w:val="00371DB0"/>
    <w:rsid w:val="00373C32"/>
    <w:rsid w:val="00374750"/>
    <w:rsid w:val="003772A6"/>
    <w:rsid w:val="00380D10"/>
    <w:rsid w:val="003833D6"/>
    <w:rsid w:val="0039066D"/>
    <w:rsid w:val="00393462"/>
    <w:rsid w:val="003940CD"/>
    <w:rsid w:val="00396939"/>
    <w:rsid w:val="003A04C5"/>
    <w:rsid w:val="003A0733"/>
    <w:rsid w:val="003A16B2"/>
    <w:rsid w:val="003A3D54"/>
    <w:rsid w:val="003A5566"/>
    <w:rsid w:val="003B1C51"/>
    <w:rsid w:val="003B2AC5"/>
    <w:rsid w:val="003C0B66"/>
    <w:rsid w:val="003C26BA"/>
    <w:rsid w:val="003C5ED3"/>
    <w:rsid w:val="003D09F0"/>
    <w:rsid w:val="003D16B1"/>
    <w:rsid w:val="003D3631"/>
    <w:rsid w:val="003D6E4C"/>
    <w:rsid w:val="003D70E9"/>
    <w:rsid w:val="003D7415"/>
    <w:rsid w:val="003D7D9D"/>
    <w:rsid w:val="003F0ED3"/>
    <w:rsid w:val="003F42D4"/>
    <w:rsid w:val="00406A7D"/>
    <w:rsid w:val="00407C1A"/>
    <w:rsid w:val="00410600"/>
    <w:rsid w:val="0041210A"/>
    <w:rsid w:val="00412654"/>
    <w:rsid w:val="00416899"/>
    <w:rsid w:val="00420765"/>
    <w:rsid w:val="00423624"/>
    <w:rsid w:val="004366B0"/>
    <w:rsid w:val="00441D62"/>
    <w:rsid w:val="00444856"/>
    <w:rsid w:val="00446FC0"/>
    <w:rsid w:val="00471FDA"/>
    <w:rsid w:val="00477D9E"/>
    <w:rsid w:val="00480F81"/>
    <w:rsid w:val="00481AF8"/>
    <w:rsid w:val="00486FC8"/>
    <w:rsid w:val="00491116"/>
    <w:rsid w:val="004A20BB"/>
    <w:rsid w:val="004A223F"/>
    <w:rsid w:val="004A33BC"/>
    <w:rsid w:val="004A34B2"/>
    <w:rsid w:val="004A4EBA"/>
    <w:rsid w:val="004C441F"/>
    <w:rsid w:val="004C6415"/>
    <w:rsid w:val="004D3924"/>
    <w:rsid w:val="004D443B"/>
    <w:rsid w:val="004D5275"/>
    <w:rsid w:val="004D7D0F"/>
    <w:rsid w:val="004E03A2"/>
    <w:rsid w:val="004E04C9"/>
    <w:rsid w:val="004E29FC"/>
    <w:rsid w:val="004E56B2"/>
    <w:rsid w:val="00501B93"/>
    <w:rsid w:val="0050444F"/>
    <w:rsid w:val="00506481"/>
    <w:rsid w:val="00510B07"/>
    <w:rsid w:val="00511128"/>
    <w:rsid w:val="0051117E"/>
    <w:rsid w:val="00513553"/>
    <w:rsid w:val="00515BFE"/>
    <w:rsid w:val="005202DA"/>
    <w:rsid w:val="00520420"/>
    <w:rsid w:val="0052109C"/>
    <w:rsid w:val="00522260"/>
    <w:rsid w:val="00522303"/>
    <w:rsid w:val="005369A9"/>
    <w:rsid w:val="005370F5"/>
    <w:rsid w:val="00542045"/>
    <w:rsid w:val="005509BF"/>
    <w:rsid w:val="0055156D"/>
    <w:rsid w:val="00551B83"/>
    <w:rsid w:val="005600C9"/>
    <w:rsid w:val="005641AA"/>
    <w:rsid w:val="00567644"/>
    <w:rsid w:val="0057045C"/>
    <w:rsid w:val="00571C0B"/>
    <w:rsid w:val="005742AF"/>
    <w:rsid w:val="005764B0"/>
    <w:rsid w:val="005765D6"/>
    <w:rsid w:val="00583DF7"/>
    <w:rsid w:val="0058460E"/>
    <w:rsid w:val="005876DC"/>
    <w:rsid w:val="00590C05"/>
    <w:rsid w:val="005A2D10"/>
    <w:rsid w:val="005A6178"/>
    <w:rsid w:val="005A6458"/>
    <w:rsid w:val="005B2F74"/>
    <w:rsid w:val="005C2955"/>
    <w:rsid w:val="005C3874"/>
    <w:rsid w:val="005C3A0D"/>
    <w:rsid w:val="005C65D0"/>
    <w:rsid w:val="005C66B0"/>
    <w:rsid w:val="005E12A5"/>
    <w:rsid w:val="005E2801"/>
    <w:rsid w:val="005F30D7"/>
    <w:rsid w:val="005F6B33"/>
    <w:rsid w:val="00604CFA"/>
    <w:rsid w:val="006070F4"/>
    <w:rsid w:val="00607309"/>
    <w:rsid w:val="0060746D"/>
    <w:rsid w:val="00620FF3"/>
    <w:rsid w:val="00623353"/>
    <w:rsid w:val="00624DE1"/>
    <w:rsid w:val="0063061E"/>
    <w:rsid w:val="006306FE"/>
    <w:rsid w:val="0063500F"/>
    <w:rsid w:val="00635389"/>
    <w:rsid w:val="00636837"/>
    <w:rsid w:val="00640FDE"/>
    <w:rsid w:val="00642907"/>
    <w:rsid w:val="00642DD3"/>
    <w:rsid w:val="00646928"/>
    <w:rsid w:val="0065012F"/>
    <w:rsid w:val="006542EA"/>
    <w:rsid w:val="00670AF3"/>
    <w:rsid w:val="00670CE2"/>
    <w:rsid w:val="0067704B"/>
    <w:rsid w:val="00677ABA"/>
    <w:rsid w:val="00683077"/>
    <w:rsid w:val="00683086"/>
    <w:rsid w:val="00686D8E"/>
    <w:rsid w:val="00694114"/>
    <w:rsid w:val="006961B5"/>
    <w:rsid w:val="006A2FD9"/>
    <w:rsid w:val="006A5C67"/>
    <w:rsid w:val="006A7F81"/>
    <w:rsid w:val="006B11A4"/>
    <w:rsid w:val="006B336B"/>
    <w:rsid w:val="006B5F9A"/>
    <w:rsid w:val="006C2801"/>
    <w:rsid w:val="006C5A0C"/>
    <w:rsid w:val="006C6B1B"/>
    <w:rsid w:val="006C75F8"/>
    <w:rsid w:val="006D1614"/>
    <w:rsid w:val="006D2164"/>
    <w:rsid w:val="006D2944"/>
    <w:rsid w:val="006D29CB"/>
    <w:rsid w:val="006E2DE6"/>
    <w:rsid w:val="00701F25"/>
    <w:rsid w:val="00707E7B"/>
    <w:rsid w:val="00716D47"/>
    <w:rsid w:val="00716E32"/>
    <w:rsid w:val="0072214B"/>
    <w:rsid w:val="007331BB"/>
    <w:rsid w:val="007335D3"/>
    <w:rsid w:val="0073373C"/>
    <w:rsid w:val="00734985"/>
    <w:rsid w:val="007369F7"/>
    <w:rsid w:val="00736F68"/>
    <w:rsid w:val="0074464B"/>
    <w:rsid w:val="00745B5E"/>
    <w:rsid w:val="007461DF"/>
    <w:rsid w:val="007478FC"/>
    <w:rsid w:val="0075006F"/>
    <w:rsid w:val="00751CAF"/>
    <w:rsid w:val="0076214A"/>
    <w:rsid w:val="00763D82"/>
    <w:rsid w:val="007654E5"/>
    <w:rsid w:val="00772317"/>
    <w:rsid w:val="0077254A"/>
    <w:rsid w:val="00773DB7"/>
    <w:rsid w:val="007811BA"/>
    <w:rsid w:val="00782D04"/>
    <w:rsid w:val="00792EA6"/>
    <w:rsid w:val="007A032D"/>
    <w:rsid w:val="007A5A79"/>
    <w:rsid w:val="007A61B1"/>
    <w:rsid w:val="007A69D3"/>
    <w:rsid w:val="007B32C1"/>
    <w:rsid w:val="007B51AA"/>
    <w:rsid w:val="007B5928"/>
    <w:rsid w:val="007B7EE4"/>
    <w:rsid w:val="007C1A7A"/>
    <w:rsid w:val="007C1D35"/>
    <w:rsid w:val="007C491D"/>
    <w:rsid w:val="007C4B27"/>
    <w:rsid w:val="007C512F"/>
    <w:rsid w:val="007D1453"/>
    <w:rsid w:val="007D4022"/>
    <w:rsid w:val="007D5AF9"/>
    <w:rsid w:val="007E4709"/>
    <w:rsid w:val="007E6A07"/>
    <w:rsid w:val="007F50B0"/>
    <w:rsid w:val="0080041D"/>
    <w:rsid w:val="00807261"/>
    <w:rsid w:val="00811CA8"/>
    <w:rsid w:val="0082054E"/>
    <w:rsid w:val="00821D35"/>
    <w:rsid w:val="00824258"/>
    <w:rsid w:val="0083068E"/>
    <w:rsid w:val="00832CAA"/>
    <w:rsid w:val="0083465D"/>
    <w:rsid w:val="00836117"/>
    <w:rsid w:val="00842E79"/>
    <w:rsid w:val="00844E54"/>
    <w:rsid w:val="008456EA"/>
    <w:rsid w:val="00846D39"/>
    <w:rsid w:val="0084765B"/>
    <w:rsid w:val="00852C6A"/>
    <w:rsid w:val="00855B8C"/>
    <w:rsid w:val="008641C6"/>
    <w:rsid w:val="00876031"/>
    <w:rsid w:val="00880B1B"/>
    <w:rsid w:val="00881E7D"/>
    <w:rsid w:val="00883886"/>
    <w:rsid w:val="00887AAB"/>
    <w:rsid w:val="008935C6"/>
    <w:rsid w:val="0089423C"/>
    <w:rsid w:val="0089544E"/>
    <w:rsid w:val="00895859"/>
    <w:rsid w:val="008A0A3A"/>
    <w:rsid w:val="008A373C"/>
    <w:rsid w:val="008A3A36"/>
    <w:rsid w:val="008A54F5"/>
    <w:rsid w:val="008A5A3A"/>
    <w:rsid w:val="008A5B94"/>
    <w:rsid w:val="008A5BA2"/>
    <w:rsid w:val="008A65EC"/>
    <w:rsid w:val="008A6D7D"/>
    <w:rsid w:val="008A6DD2"/>
    <w:rsid w:val="008C46B2"/>
    <w:rsid w:val="008C6446"/>
    <w:rsid w:val="008C66DC"/>
    <w:rsid w:val="008D58D0"/>
    <w:rsid w:val="008E0DAE"/>
    <w:rsid w:val="008E24B5"/>
    <w:rsid w:val="008E2D94"/>
    <w:rsid w:val="008E4216"/>
    <w:rsid w:val="008E4B95"/>
    <w:rsid w:val="008E554C"/>
    <w:rsid w:val="008F1E5C"/>
    <w:rsid w:val="008F35AA"/>
    <w:rsid w:val="008F45C1"/>
    <w:rsid w:val="009017A9"/>
    <w:rsid w:val="00902A57"/>
    <w:rsid w:val="0091063B"/>
    <w:rsid w:val="00913BCA"/>
    <w:rsid w:val="00915B4B"/>
    <w:rsid w:val="00917488"/>
    <w:rsid w:val="0091766A"/>
    <w:rsid w:val="00920C86"/>
    <w:rsid w:val="00923038"/>
    <w:rsid w:val="009276F4"/>
    <w:rsid w:val="00930A11"/>
    <w:rsid w:val="00931765"/>
    <w:rsid w:val="009344BA"/>
    <w:rsid w:val="009346F6"/>
    <w:rsid w:val="0093521C"/>
    <w:rsid w:val="00935797"/>
    <w:rsid w:val="00937CB5"/>
    <w:rsid w:val="00940118"/>
    <w:rsid w:val="00940792"/>
    <w:rsid w:val="00944531"/>
    <w:rsid w:val="00951198"/>
    <w:rsid w:val="0095233B"/>
    <w:rsid w:val="00965B4B"/>
    <w:rsid w:val="009666B4"/>
    <w:rsid w:val="009674E8"/>
    <w:rsid w:val="009730E8"/>
    <w:rsid w:val="00974D6D"/>
    <w:rsid w:val="00974F02"/>
    <w:rsid w:val="009826AE"/>
    <w:rsid w:val="00982B17"/>
    <w:rsid w:val="00984D75"/>
    <w:rsid w:val="00990EB4"/>
    <w:rsid w:val="009A08CE"/>
    <w:rsid w:val="009A1CF7"/>
    <w:rsid w:val="009A580E"/>
    <w:rsid w:val="009A7E9B"/>
    <w:rsid w:val="009B1ABA"/>
    <w:rsid w:val="009B711D"/>
    <w:rsid w:val="009B779A"/>
    <w:rsid w:val="009C2CBC"/>
    <w:rsid w:val="009C685D"/>
    <w:rsid w:val="009C7771"/>
    <w:rsid w:val="009D2637"/>
    <w:rsid w:val="009D5DB4"/>
    <w:rsid w:val="009D71CB"/>
    <w:rsid w:val="009E14AD"/>
    <w:rsid w:val="009F204B"/>
    <w:rsid w:val="009F28AA"/>
    <w:rsid w:val="00A04359"/>
    <w:rsid w:val="00A062A6"/>
    <w:rsid w:val="00A074DF"/>
    <w:rsid w:val="00A111C1"/>
    <w:rsid w:val="00A17878"/>
    <w:rsid w:val="00A2204D"/>
    <w:rsid w:val="00A25F52"/>
    <w:rsid w:val="00A26438"/>
    <w:rsid w:val="00A26474"/>
    <w:rsid w:val="00A26C0B"/>
    <w:rsid w:val="00A27055"/>
    <w:rsid w:val="00A2777E"/>
    <w:rsid w:val="00A27B94"/>
    <w:rsid w:val="00A30D4B"/>
    <w:rsid w:val="00A31814"/>
    <w:rsid w:val="00A4122F"/>
    <w:rsid w:val="00A412D7"/>
    <w:rsid w:val="00A46471"/>
    <w:rsid w:val="00A56858"/>
    <w:rsid w:val="00A61E64"/>
    <w:rsid w:val="00A63A6C"/>
    <w:rsid w:val="00A64C62"/>
    <w:rsid w:val="00A65589"/>
    <w:rsid w:val="00A72ADE"/>
    <w:rsid w:val="00A74E21"/>
    <w:rsid w:val="00A76D13"/>
    <w:rsid w:val="00A8002B"/>
    <w:rsid w:val="00A80756"/>
    <w:rsid w:val="00A86AE3"/>
    <w:rsid w:val="00A94B72"/>
    <w:rsid w:val="00A97240"/>
    <w:rsid w:val="00A97497"/>
    <w:rsid w:val="00A979E7"/>
    <w:rsid w:val="00AA4059"/>
    <w:rsid w:val="00AB22B0"/>
    <w:rsid w:val="00AB5004"/>
    <w:rsid w:val="00AB6698"/>
    <w:rsid w:val="00AB73AB"/>
    <w:rsid w:val="00AB7BC6"/>
    <w:rsid w:val="00AC28FF"/>
    <w:rsid w:val="00AC320F"/>
    <w:rsid w:val="00AC4324"/>
    <w:rsid w:val="00AC43EB"/>
    <w:rsid w:val="00AC4915"/>
    <w:rsid w:val="00AD0EA6"/>
    <w:rsid w:val="00AE0ED3"/>
    <w:rsid w:val="00AE3FD8"/>
    <w:rsid w:val="00AE78B9"/>
    <w:rsid w:val="00AE7F51"/>
    <w:rsid w:val="00AF2EFD"/>
    <w:rsid w:val="00AF364D"/>
    <w:rsid w:val="00B07019"/>
    <w:rsid w:val="00B07681"/>
    <w:rsid w:val="00B1460B"/>
    <w:rsid w:val="00B210B1"/>
    <w:rsid w:val="00B22AF4"/>
    <w:rsid w:val="00B25EC3"/>
    <w:rsid w:val="00B279CF"/>
    <w:rsid w:val="00B304FC"/>
    <w:rsid w:val="00B344C8"/>
    <w:rsid w:val="00B34784"/>
    <w:rsid w:val="00B3513C"/>
    <w:rsid w:val="00B36958"/>
    <w:rsid w:val="00B40318"/>
    <w:rsid w:val="00B4241A"/>
    <w:rsid w:val="00B43D7A"/>
    <w:rsid w:val="00B44109"/>
    <w:rsid w:val="00B455C2"/>
    <w:rsid w:val="00B46116"/>
    <w:rsid w:val="00B46537"/>
    <w:rsid w:val="00B522FB"/>
    <w:rsid w:val="00B52DB4"/>
    <w:rsid w:val="00B53EE5"/>
    <w:rsid w:val="00B54763"/>
    <w:rsid w:val="00B55176"/>
    <w:rsid w:val="00B60B13"/>
    <w:rsid w:val="00B66506"/>
    <w:rsid w:val="00B70658"/>
    <w:rsid w:val="00B753F1"/>
    <w:rsid w:val="00B767C3"/>
    <w:rsid w:val="00B774E1"/>
    <w:rsid w:val="00B868D6"/>
    <w:rsid w:val="00B917ED"/>
    <w:rsid w:val="00B9676B"/>
    <w:rsid w:val="00BA354E"/>
    <w:rsid w:val="00BA69D2"/>
    <w:rsid w:val="00BB337E"/>
    <w:rsid w:val="00BB647D"/>
    <w:rsid w:val="00BB655D"/>
    <w:rsid w:val="00BB66E5"/>
    <w:rsid w:val="00BC4377"/>
    <w:rsid w:val="00BD3007"/>
    <w:rsid w:val="00BE2CFC"/>
    <w:rsid w:val="00BE3E77"/>
    <w:rsid w:val="00BE4118"/>
    <w:rsid w:val="00BF27F6"/>
    <w:rsid w:val="00BF476D"/>
    <w:rsid w:val="00BF6630"/>
    <w:rsid w:val="00BF67E4"/>
    <w:rsid w:val="00BF69C8"/>
    <w:rsid w:val="00C0112F"/>
    <w:rsid w:val="00C02903"/>
    <w:rsid w:val="00C037E8"/>
    <w:rsid w:val="00C066D0"/>
    <w:rsid w:val="00C0722F"/>
    <w:rsid w:val="00C10A41"/>
    <w:rsid w:val="00C1442F"/>
    <w:rsid w:val="00C21BBA"/>
    <w:rsid w:val="00C227ED"/>
    <w:rsid w:val="00C341B3"/>
    <w:rsid w:val="00C3557C"/>
    <w:rsid w:val="00C55890"/>
    <w:rsid w:val="00C64EBA"/>
    <w:rsid w:val="00C716BA"/>
    <w:rsid w:val="00C75709"/>
    <w:rsid w:val="00C76C7F"/>
    <w:rsid w:val="00C80634"/>
    <w:rsid w:val="00C84009"/>
    <w:rsid w:val="00C85ED0"/>
    <w:rsid w:val="00C86B04"/>
    <w:rsid w:val="00C86B90"/>
    <w:rsid w:val="00C93E83"/>
    <w:rsid w:val="00C94C05"/>
    <w:rsid w:val="00C97730"/>
    <w:rsid w:val="00CA036E"/>
    <w:rsid w:val="00CA16A6"/>
    <w:rsid w:val="00CA1B18"/>
    <w:rsid w:val="00CA1E0C"/>
    <w:rsid w:val="00CA2402"/>
    <w:rsid w:val="00CA7CA3"/>
    <w:rsid w:val="00CB5F1C"/>
    <w:rsid w:val="00CC00C8"/>
    <w:rsid w:val="00CC3BCE"/>
    <w:rsid w:val="00CC3E1D"/>
    <w:rsid w:val="00CC49D2"/>
    <w:rsid w:val="00CC5066"/>
    <w:rsid w:val="00CC53C3"/>
    <w:rsid w:val="00CD4D05"/>
    <w:rsid w:val="00CE18FC"/>
    <w:rsid w:val="00CE50A1"/>
    <w:rsid w:val="00CE642B"/>
    <w:rsid w:val="00CF520F"/>
    <w:rsid w:val="00CF67F0"/>
    <w:rsid w:val="00D011F2"/>
    <w:rsid w:val="00D04E21"/>
    <w:rsid w:val="00D0632E"/>
    <w:rsid w:val="00D10445"/>
    <w:rsid w:val="00D2233A"/>
    <w:rsid w:val="00D24137"/>
    <w:rsid w:val="00D26D2F"/>
    <w:rsid w:val="00D27F19"/>
    <w:rsid w:val="00D33287"/>
    <w:rsid w:val="00D34BB0"/>
    <w:rsid w:val="00D37360"/>
    <w:rsid w:val="00D4081D"/>
    <w:rsid w:val="00D461B4"/>
    <w:rsid w:val="00D51B8B"/>
    <w:rsid w:val="00D52A69"/>
    <w:rsid w:val="00D52CD3"/>
    <w:rsid w:val="00D5402C"/>
    <w:rsid w:val="00D550DE"/>
    <w:rsid w:val="00D55868"/>
    <w:rsid w:val="00D564EA"/>
    <w:rsid w:val="00D56F17"/>
    <w:rsid w:val="00D57B6D"/>
    <w:rsid w:val="00D66C37"/>
    <w:rsid w:val="00D66FA0"/>
    <w:rsid w:val="00D7264B"/>
    <w:rsid w:val="00D72658"/>
    <w:rsid w:val="00D727BC"/>
    <w:rsid w:val="00D7493A"/>
    <w:rsid w:val="00D765D0"/>
    <w:rsid w:val="00D803F2"/>
    <w:rsid w:val="00D8097C"/>
    <w:rsid w:val="00D869AF"/>
    <w:rsid w:val="00D95D1E"/>
    <w:rsid w:val="00D96202"/>
    <w:rsid w:val="00DA0014"/>
    <w:rsid w:val="00DA1376"/>
    <w:rsid w:val="00DA45EA"/>
    <w:rsid w:val="00DA4D26"/>
    <w:rsid w:val="00DB3D09"/>
    <w:rsid w:val="00DB5CB9"/>
    <w:rsid w:val="00DB620E"/>
    <w:rsid w:val="00DB7717"/>
    <w:rsid w:val="00DC0C74"/>
    <w:rsid w:val="00DC54F1"/>
    <w:rsid w:val="00DE1C30"/>
    <w:rsid w:val="00DE2C23"/>
    <w:rsid w:val="00DE3FB1"/>
    <w:rsid w:val="00DE43E2"/>
    <w:rsid w:val="00DE5C2D"/>
    <w:rsid w:val="00DE6844"/>
    <w:rsid w:val="00DE6D95"/>
    <w:rsid w:val="00DF7037"/>
    <w:rsid w:val="00DF7B19"/>
    <w:rsid w:val="00E00077"/>
    <w:rsid w:val="00E014C2"/>
    <w:rsid w:val="00E06609"/>
    <w:rsid w:val="00E12E77"/>
    <w:rsid w:val="00E13FA9"/>
    <w:rsid w:val="00E14DA8"/>
    <w:rsid w:val="00E15F16"/>
    <w:rsid w:val="00E16A58"/>
    <w:rsid w:val="00E252E0"/>
    <w:rsid w:val="00E27B5F"/>
    <w:rsid w:val="00E302FD"/>
    <w:rsid w:val="00E324D2"/>
    <w:rsid w:val="00E37237"/>
    <w:rsid w:val="00E379FA"/>
    <w:rsid w:val="00E37CF6"/>
    <w:rsid w:val="00E43FB2"/>
    <w:rsid w:val="00E47874"/>
    <w:rsid w:val="00E50E51"/>
    <w:rsid w:val="00E51987"/>
    <w:rsid w:val="00E52ECF"/>
    <w:rsid w:val="00E533CE"/>
    <w:rsid w:val="00E5349E"/>
    <w:rsid w:val="00E56970"/>
    <w:rsid w:val="00E615CA"/>
    <w:rsid w:val="00E63390"/>
    <w:rsid w:val="00E6494E"/>
    <w:rsid w:val="00E661EF"/>
    <w:rsid w:val="00E709EE"/>
    <w:rsid w:val="00E73A53"/>
    <w:rsid w:val="00E80892"/>
    <w:rsid w:val="00E80D3A"/>
    <w:rsid w:val="00E90DFD"/>
    <w:rsid w:val="00E95644"/>
    <w:rsid w:val="00E9757F"/>
    <w:rsid w:val="00EB6AB5"/>
    <w:rsid w:val="00EC1DB7"/>
    <w:rsid w:val="00EC49C6"/>
    <w:rsid w:val="00ED7C82"/>
    <w:rsid w:val="00ED7D4E"/>
    <w:rsid w:val="00EE18EB"/>
    <w:rsid w:val="00EF0154"/>
    <w:rsid w:val="00EF2962"/>
    <w:rsid w:val="00F01F11"/>
    <w:rsid w:val="00F02B42"/>
    <w:rsid w:val="00F11524"/>
    <w:rsid w:val="00F11AA9"/>
    <w:rsid w:val="00F12596"/>
    <w:rsid w:val="00F1283B"/>
    <w:rsid w:val="00F16D7A"/>
    <w:rsid w:val="00F171B9"/>
    <w:rsid w:val="00F265A5"/>
    <w:rsid w:val="00F27F56"/>
    <w:rsid w:val="00F304E0"/>
    <w:rsid w:val="00F340C2"/>
    <w:rsid w:val="00F369C4"/>
    <w:rsid w:val="00F40605"/>
    <w:rsid w:val="00F50514"/>
    <w:rsid w:val="00F60E93"/>
    <w:rsid w:val="00F6346C"/>
    <w:rsid w:val="00F64A6F"/>
    <w:rsid w:val="00F6633F"/>
    <w:rsid w:val="00F6634A"/>
    <w:rsid w:val="00F71C4F"/>
    <w:rsid w:val="00F752E0"/>
    <w:rsid w:val="00F76DE6"/>
    <w:rsid w:val="00F77E61"/>
    <w:rsid w:val="00F77EE9"/>
    <w:rsid w:val="00F86120"/>
    <w:rsid w:val="00F94688"/>
    <w:rsid w:val="00FA30AD"/>
    <w:rsid w:val="00FA4AD6"/>
    <w:rsid w:val="00FB63F4"/>
    <w:rsid w:val="00FC2204"/>
    <w:rsid w:val="00FC2661"/>
    <w:rsid w:val="00FC5D85"/>
    <w:rsid w:val="00FC5FD4"/>
    <w:rsid w:val="00FC70CF"/>
    <w:rsid w:val="00FC730F"/>
    <w:rsid w:val="00FD0F27"/>
    <w:rsid w:val="00FD7307"/>
    <w:rsid w:val="00FE50B0"/>
    <w:rsid w:val="00FF32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6A9B6F"/>
  <w15:chartTrackingRefBased/>
  <w15:docId w15:val="{7F0B42A9-FE8F-4EE5-8CFB-D5E4BEF35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4216"/>
    <w:pPr>
      <w:widowControl w:val="0"/>
      <w:tabs>
        <w:tab w:val="left" w:pos="2820"/>
      </w:tabs>
      <w:autoSpaceDE w:val="0"/>
      <w:autoSpaceDN w:val="0"/>
      <w:spacing w:after="0" w:line="240" w:lineRule="auto"/>
      <w:jc w:val="both"/>
    </w:pPr>
    <w:rPr>
      <w:rFonts w:ascii="Dashiell Text" w:eastAsia="Arial" w:hAnsi="Dashiell Text" w:cs="Arial"/>
      <w:sz w:val="24"/>
      <w:szCs w:val="24"/>
    </w:rPr>
  </w:style>
  <w:style w:type="paragraph" w:styleId="Heading1">
    <w:name w:val="heading 1"/>
    <w:basedOn w:val="Normal"/>
    <w:next w:val="Normal"/>
    <w:link w:val="Heading1Char"/>
    <w:uiPriority w:val="9"/>
    <w:qFormat/>
    <w:rsid w:val="00F1283B"/>
    <w:pPr>
      <w:numPr>
        <w:numId w:val="34"/>
      </w:numPr>
      <w:tabs>
        <w:tab w:val="clear" w:pos="2820"/>
        <w:tab w:val="left" w:pos="680"/>
      </w:tabs>
      <w:spacing w:line="360" w:lineRule="auto"/>
      <w:outlineLvl w:val="0"/>
    </w:pPr>
    <w:rPr>
      <w:rFonts w:ascii="Ballinger Bold" w:hAnsi="Ballinger Bold"/>
      <w:color w:val="0D442A"/>
      <w:sz w:val="28"/>
      <w:szCs w:val="28"/>
    </w:rPr>
  </w:style>
  <w:style w:type="paragraph" w:styleId="Heading2">
    <w:name w:val="heading 2"/>
    <w:basedOn w:val="Normal"/>
    <w:next w:val="Normal"/>
    <w:link w:val="Heading2Char"/>
    <w:uiPriority w:val="9"/>
    <w:unhideWhenUsed/>
    <w:qFormat/>
    <w:rsid w:val="00F304E0"/>
    <w:pPr>
      <w:numPr>
        <w:ilvl w:val="1"/>
        <w:numId w:val="34"/>
      </w:numPr>
      <w:tabs>
        <w:tab w:val="clear" w:pos="2820"/>
        <w:tab w:val="left" w:pos="567"/>
      </w:tabs>
      <w:spacing w:after="120"/>
      <w:jc w:val="left"/>
      <w:outlineLvl w:val="1"/>
    </w:pPr>
    <w:rPr>
      <w:rFonts w:ascii="Ballinger Bold" w:hAnsi="Ballinger Bold"/>
      <w:color w:val="0D442A"/>
    </w:rPr>
  </w:style>
  <w:style w:type="paragraph" w:styleId="Heading3">
    <w:name w:val="heading 3"/>
    <w:basedOn w:val="Normal"/>
    <w:next w:val="Normal"/>
    <w:link w:val="Heading3Char"/>
    <w:uiPriority w:val="9"/>
    <w:unhideWhenUsed/>
    <w:qFormat/>
    <w:rsid w:val="008A5B94"/>
    <w:pPr>
      <w:outlineLvl w:val="2"/>
    </w:pPr>
    <w:rPr>
      <w:rFonts w:ascii="HelveticaNeueLT Std Med" w:hAnsi="HelveticaNeueLT Std Med"/>
    </w:rPr>
  </w:style>
  <w:style w:type="paragraph" w:styleId="Heading4">
    <w:name w:val="heading 4"/>
    <w:basedOn w:val="Normal"/>
    <w:next w:val="Normal"/>
    <w:link w:val="Heading4Char"/>
    <w:uiPriority w:val="9"/>
    <w:semiHidden/>
    <w:unhideWhenUsed/>
    <w:qFormat/>
    <w:rsid w:val="0031248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1248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1248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1248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1248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1248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283B"/>
    <w:rPr>
      <w:rFonts w:ascii="Ballinger Bold" w:eastAsia="Arial" w:hAnsi="Ballinger Bold" w:cs="Arial"/>
      <w:color w:val="0D442A"/>
      <w:sz w:val="28"/>
      <w:szCs w:val="28"/>
    </w:rPr>
  </w:style>
  <w:style w:type="character" w:customStyle="1" w:styleId="Heading2Char">
    <w:name w:val="Heading 2 Char"/>
    <w:basedOn w:val="DefaultParagraphFont"/>
    <w:link w:val="Heading2"/>
    <w:uiPriority w:val="9"/>
    <w:rsid w:val="00F304E0"/>
    <w:rPr>
      <w:rFonts w:ascii="Ballinger Bold" w:eastAsia="Arial" w:hAnsi="Ballinger Bold" w:cs="Arial"/>
      <w:color w:val="0D442A"/>
      <w:sz w:val="24"/>
      <w:szCs w:val="24"/>
    </w:rPr>
  </w:style>
  <w:style w:type="character" w:customStyle="1" w:styleId="Heading3Char">
    <w:name w:val="Heading 3 Char"/>
    <w:basedOn w:val="DefaultParagraphFont"/>
    <w:link w:val="Heading3"/>
    <w:uiPriority w:val="9"/>
    <w:rsid w:val="008A5B94"/>
    <w:rPr>
      <w:rFonts w:ascii="HelveticaNeueLT Std Med" w:eastAsia="Arial" w:hAnsi="HelveticaNeueLT Std Med" w:cs="Arial"/>
      <w:sz w:val="24"/>
      <w:szCs w:val="24"/>
      <w:lang w:val="en-IE"/>
    </w:rPr>
  </w:style>
  <w:style w:type="character" w:customStyle="1" w:styleId="Heading4Char">
    <w:name w:val="Heading 4 Char"/>
    <w:basedOn w:val="DefaultParagraphFont"/>
    <w:link w:val="Heading4"/>
    <w:uiPriority w:val="9"/>
    <w:semiHidden/>
    <w:rsid w:val="0031248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1248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1248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1248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1248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12481"/>
    <w:rPr>
      <w:rFonts w:eastAsiaTheme="majorEastAsia" w:cstheme="majorBidi"/>
      <w:color w:val="272727" w:themeColor="text1" w:themeTint="D8"/>
    </w:rPr>
  </w:style>
  <w:style w:type="paragraph" w:styleId="Title">
    <w:name w:val="Title"/>
    <w:basedOn w:val="Normal"/>
    <w:next w:val="Normal"/>
    <w:link w:val="TitleChar"/>
    <w:uiPriority w:val="10"/>
    <w:qFormat/>
    <w:rsid w:val="0031248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1248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1248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1248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A5B94"/>
    <w:rPr>
      <w:i/>
      <w:iCs/>
    </w:rPr>
  </w:style>
  <w:style w:type="character" w:customStyle="1" w:styleId="QuoteChar">
    <w:name w:val="Quote Char"/>
    <w:basedOn w:val="DefaultParagraphFont"/>
    <w:link w:val="Quote"/>
    <w:uiPriority w:val="29"/>
    <w:rsid w:val="008A5B94"/>
    <w:rPr>
      <w:rFonts w:ascii="HelveticaNeueLT Std Lt" w:eastAsia="Arial" w:hAnsi="HelveticaNeueLT Std Lt" w:cs="Arial"/>
      <w:i/>
      <w:iCs/>
      <w:sz w:val="24"/>
      <w:szCs w:val="24"/>
      <w:lang w:val="en-IE"/>
    </w:rPr>
  </w:style>
  <w:style w:type="paragraph" w:styleId="ListParagraph">
    <w:name w:val="List Paragraph"/>
    <w:basedOn w:val="Normal"/>
    <w:link w:val="ListParagraphChar"/>
    <w:uiPriority w:val="34"/>
    <w:qFormat/>
    <w:rsid w:val="00312481"/>
    <w:pPr>
      <w:ind w:left="720"/>
      <w:contextualSpacing/>
    </w:pPr>
  </w:style>
  <w:style w:type="character" w:styleId="IntenseEmphasis">
    <w:name w:val="Intense Emphasis"/>
    <w:basedOn w:val="DefaultParagraphFont"/>
    <w:uiPriority w:val="21"/>
    <w:qFormat/>
    <w:rsid w:val="00312481"/>
    <w:rPr>
      <w:i/>
      <w:iCs/>
      <w:color w:val="2F5496" w:themeColor="accent1" w:themeShade="BF"/>
    </w:rPr>
  </w:style>
  <w:style w:type="paragraph" w:styleId="IntenseQuote">
    <w:name w:val="Intense Quote"/>
    <w:basedOn w:val="Normal"/>
    <w:next w:val="Normal"/>
    <w:link w:val="IntenseQuoteChar"/>
    <w:uiPriority w:val="30"/>
    <w:qFormat/>
    <w:rsid w:val="0031248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12481"/>
    <w:rPr>
      <w:i/>
      <w:iCs/>
      <w:color w:val="2F5496" w:themeColor="accent1" w:themeShade="BF"/>
    </w:rPr>
  </w:style>
  <w:style w:type="character" w:styleId="IntenseReference">
    <w:name w:val="Intense Reference"/>
    <w:basedOn w:val="DefaultParagraphFont"/>
    <w:uiPriority w:val="32"/>
    <w:qFormat/>
    <w:rsid w:val="00312481"/>
    <w:rPr>
      <w:b/>
      <w:bCs/>
      <w:smallCaps/>
      <w:color w:val="2F5496" w:themeColor="accent1" w:themeShade="BF"/>
      <w:spacing w:val="5"/>
    </w:rPr>
  </w:style>
  <w:style w:type="paragraph" w:styleId="BodyText">
    <w:name w:val="Body Text"/>
    <w:basedOn w:val="Normal"/>
    <w:link w:val="BodyTextChar"/>
    <w:uiPriority w:val="1"/>
    <w:qFormat/>
    <w:rsid w:val="008A5B94"/>
  </w:style>
  <w:style w:type="character" w:customStyle="1" w:styleId="BodyTextChar">
    <w:name w:val="Body Text Char"/>
    <w:basedOn w:val="DefaultParagraphFont"/>
    <w:link w:val="BodyText"/>
    <w:uiPriority w:val="1"/>
    <w:rsid w:val="008A5B94"/>
    <w:rPr>
      <w:rFonts w:ascii="HelveticaNeueLT Std Lt" w:eastAsia="Arial" w:hAnsi="HelveticaNeueLT Std Lt" w:cs="Arial"/>
      <w:sz w:val="24"/>
      <w:szCs w:val="24"/>
      <w:lang w:val="en-IE"/>
    </w:rPr>
  </w:style>
  <w:style w:type="paragraph" w:customStyle="1" w:styleId="FrontCover-subtitle">
    <w:name w:val="Front Cover - sub title"/>
    <w:basedOn w:val="Title"/>
    <w:uiPriority w:val="10"/>
    <w:qFormat/>
    <w:rsid w:val="008E4216"/>
    <w:pPr>
      <w:spacing w:before="6" w:after="0"/>
      <w:ind w:left="673"/>
      <w:contextualSpacing w:val="0"/>
    </w:pPr>
    <w:rPr>
      <w:rFonts w:ascii="Ballinger Medium" w:eastAsia="HelveticaNeueLT Std Med" w:hAnsi="Ballinger Medium" w:cs="Arial"/>
      <w:color w:val="0D442A"/>
      <w:spacing w:val="-2"/>
      <w:kern w:val="0"/>
      <w:sz w:val="50"/>
      <w:szCs w:val="50"/>
    </w:rPr>
  </w:style>
  <w:style w:type="paragraph" w:customStyle="1" w:styleId="FrontCover-Title">
    <w:name w:val="Front Cover - Title"/>
    <w:basedOn w:val="Title"/>
    <w:uiPriority w:val="10"/>
    <w:qFormat/>
    <w:rsid w:val="008E4216"/>
    <w:pPr>
      <w:spacing w:before="77" w:after="0"/>
      <w:ind w:left="673"/>
      <w:contextualSpacing w:val="0"/>
    </w:pPr>
    <w:rPr>
      <w:rFonts w:ascii="Ballinger Black" w:eastAsia="HelveticaNeueLT Std Med" w:hAnsi="Ballinger Black" w:cs="Arial"/>
      <w:b/>
      <w:bCs/>
      <w:color w:val="0D442A"/>
      <w:spacing w:val="0"/>
      <w:kern w:val="0"/>
      <w:sz w:val="50"/>
      <w:szCs w:val="50"/>
    </w:rPr>
  </w:style>
  <w:style w:type="paragraph" w:customStyle="1" w:styleId="FrontCover-draft">
    <w:name w:val="Front Cover - 'draft'"/>
    <w:basedOn w:val="Normal"/>
    <w:uiPriority w:val="10"/>
    <w:qFormat/>
    <w:rsid w:val="00C227ED"/>
    <w:pPr>
      <w:spacing w:before="115"/>
      <w:ind w:left="279"/>
    </w:pPr>
    <w:rPr>
      <w:color w:val="D2232A"/>
      <w:spacing w:val="27"/>
      <w:sz w:val="54"/>
    </w:rPr>
  </w:style>
  <w:style w:type="paragraph" w:customStyle="1" w:styleId="FrontCover-tablesection">
    <w:name w:val="Front Cover - table section"/>
    <w:basedOn w:val="Normal"/>
    <w:uiPriority w:val="10"/>
    <w:qFormat/>
    <w:rsid w:val="00C227ED"/>
    <w:pPr>
      <w:ind w:left="489" w:right="-338" w:hanging="347"/>
    </w:pPr>
    <w:rPr>
      <w:color w:val="A6A6A6" w:themeColor="background1" w:themeShade="A6"/>
      <w:sz w:val="28"/>
      <w:szCs w:val="28"/>
    </w:rPr>
  </w:style>
  <w:style w:type="paragraph" w:customStyle="1" w:styleId="FrontCover-tableinformation">
    <w:name w:val="Front Cover - table information"/>
    <w:basedOn w:val="Normal"/>
    <w:uiPriority w:val="10"/>
    <w:qFormat/>
    <w:rsid w:val="00C227ED"/>
    <w:pPr>
      <w:ind w:left="489" w:right="-338" w:hanging="347"/>
    </w:pPr>
    <w:rPr>
      <w:sz w:val="28"/>
      <w:szCs w:val="28"/>
    </w:rPr>
  </w:style>
  <w:style w:type="paragraph" w:styleId="Header">
    <w:name w:val="header"/>
    <w:basedOn w:val="Normal"/>
    <w:link w:val="HeaderChar"/>
    <w:uiPriority w:val="99"/>
    <w:semiHidden/>
    <w:rsid w:val="00F77E61"/>
    <w:pPr>
      <w:tabs>
        <w:tab w:val="center" w:pos="4513"/>
        <w:tab w:val="right" w:pos="9026"/>
      </w:tabs>
    </w:pPr>
  </w:style>
  <w:style w:type="character" w:customStyle="1" w:styleId="HeaderChar">
    <w:name w:val="Header Char"/>
    <w:basedOn w:val="DefaultParagraphFont"/>
    <w:link w:val="Header"/>
    <w:uiPriority w:val="99"/>
    <w:semiHidden/>
    <w:rsid w:val="00F77E61"/>
    <w:rPr>
      <w:rFonts w:ascii="HelveticaNeueLT Std Lt" w:eastAsia="Arial" w:hAnsi="HelveticaNeueLT Std Lt" w:cs="Arial"/>
      <w:sz w:val="24"/>
      <w:szCs w:val="24"/>
      <w:lang w:val="en-IE"/>
    </w:rPr>
  </w:style>
  <w:style w:type="paragraph" w:styleId="Footer">
    <w:name w:val="footer"/>
    <w:basedOn w:val="Normal"/>
    <w:link w:val="FooterChar"/>
    <w:uiPriority w:val="99"/>
    <w:semiHidden/>
    <w:rsid w:val="00F77E61"/>
    <w:pPr>
      <w:tabs>
        <w:tab w:val="center" w:pos="4513"/>
        <w:tab w:val="right" w:pos="9026"/>
      </w:tabs>
    </w:pPr>
  </w:style>
  <w:style w:type="character" w:customStyle="1" w:styleId="FooterChar">
    <w:name w:val="Footer Char"/>
    <w:basedOn w:val="DefaultParagraphFont"/>
    <w:link w:val="Footer"/>
    <w:uiPriority w:val="99"/>
    <w:semiHidden/>
    <w:rsid w:val="00F77E61"/>
    <w:rPr>
      <w:rFonts w:ascii="HelveticaNeueLT Std Lt" w:eastAsia="Arial" w:hAnsi="HelveticaNeueLT Std Lt" w:cs="Arial"/>
      <w:sz w:val="24"/>
      <w:szCs w:val="24"/>
      <w:lang w:val="en-IE"/>
    </w:rPr>
  </w:style>
  <w:style w:type="paragraph" w:customStyle="1" w:styleId="InsideCover-Heading">
    <w:name w:val="Inside Cover - Heading"/>
    <w:basedOn w:val="BodyText"/>
    <w:uiPriority w:val="10"/>
    <w:qFormat/>
    <w:rsid w:val="00F77E61"/>
    <w:pPr>
      <w:tabs>
        <w:tab w:val="left" w:pos="142"/>
      </w:tabs>
      <w:spacing w:before="11"/>
      <w:ind w:left="142"/>
    </w:pPr>
    <w:rPr>
      <w:color w:val="58595B"/>
      <w:spacing w:val="-2"/>
    </w:rPr>
  </w:style>
  <w:style w:type="paragraph" w:customStyle="1" w:styleId="InsideCover-tablesection">
    <w:name w:val="Inside Cover - table section"/>
    <w:basedOn w:val="Normal"/>
    <w:uiPriority w:val="10"/>
    <w:qFormat/>
    <w:rsid w:val="00F77E61"/>
    <w:pPr>
      <w:ind w:left="489" w:hanging="347"/>
    </w:pPr>
    <w:rPr>
      <w:color w:val="FFFFFF" w:themeColor="background1"/>
      <w:sz w:val="20"/>
      <w:szCs w:val="20"/>
    </w:rPr>
  </w:style>
  <w:style w:type="paragraph" w:customStyle="1" w:styleId="InsideCover-Tableinformation">
    <w:name w:val="Inside Cover - Table information"/>
    <w:basedOn w:val="Normal"/>
    <w:uiPriority w:val="10"/>
    <w:qFormat/>
    <w:rsid w:val="00F77E61"/>
    <w:pPr>
      <w:ind w:left="489" w:hanging="347"/>
    </w:pPr>
    <w:rPr>
      <w:sz w:val="20"/>
      <w:szCs w:val="20"/>
    </w:rPr>
  </w:style>
  <w:style w:type="table" w:styleId="TableGrid">
    <w:name w:val="Table Grid"/>
    <w:basedOn w:val="TableNormal"/>
    <w:uiPriority w:val="39"/>
    <w:rsid w:val="00F77E61"/>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ptboldblue">
    <w:name w:val="12pt bold blue"/>
    <w:uiPriority w:val="2"/>
    <w:rsid w:val="00F77E61"/>
    <w:pPr>
      <w:spacing w:after="0" w:line="240" w:lineRule="auto"/>
    </w:pPr>
    <w:rPr>
      <w:rFonts w:ascii="Arial" w:eastAsiaTheme="minorEastAsia" w:hAnsi="Arial" w:cs="Arial"/>
      <w:b/>
      <w:bCs/>
      <w:color w:val="1E196A"/>
      <w:sz w:val="24"/>
      <w:szCs w:val="24"/>
    </w:rPr>
  </w:style>
  <w:style w:type="paragraph" w:customStyle="1" w:styleId="Bullers">
    <w:name w:val="Bullers"/>
    <w:basedOn w:val="ListParagraph"/>
    <w:link w:val="BullersChar"/>
    <w:qFormat/>
    <w:rsid w:val="008A5B94"/>
    <w:pPr>
      <w:ind w:left="284"/>
    </w:pPr>
  </w:style>
  <w:style w:type="character" w:customStyle="1" w:styleId="ListParagraphChar">
    <w:name w:val="List Paragraph Char"/>
    <w:basedOn w:val="DefaultParagraphFont"/>
    <w:link w:val="ListParagraph"/>
    <w:uiPriority w:val="34"/>
    <w:rsid w:val="008A5B94"/>
    <w:rPr>
      <w:rFonts w:ascii="HelveticaNeueLT Std Lt" w:eastAsia="Arial" w:hAnsi="HelveticaNeueLT Std Lt" w:cs="Arial"/>
      <w:sz w:val="24"/>
      <w:szCs w:val="24"/>
      <w:lang w:val="en-IE"/>
    </w:rPr>
  </w:style>
  <w:style w:type="character" w:customStyle="1" w:styleId="BullersChar">
    <w:name w:val="Bullers Char"/>
    <w:basedOn w:val="ListParagraphChar"/>
    <w:link w:val="Bullers"/>
    <w:rsid w:val="008A5B94"/>
    <w:rPr>
      <w:rFonts w:ascii="HelveticaNeueLT Std Lt" w:eastAsia="Arial" w:hAnsi="HelveticaNeueLT Std Lt" w:cs="Arial"/>
      <w:sz w:val="24"/>
      <w:szCs w:val="24"/>
      <w:lang w:val="en-IE"/>
    </w:rPr>
  </w:style>
  <w:style w:type="paragraph" w:customStyle="1" w:styleId="BulletsQuote">
    <w:name w:val="Bullets Quote"/>
    <w:basedOn w:val="ListParagraph"/>
    <w:link w:val="BulletsQuoteChar"/>
    <w:qFormat/>
    <w:rsid w:val="008A5B94"/>
    <w:pPr>
      <w:numPr>
        <w:numId w:val="5"/>
      </w:numPr>
    </w:pPr>
    <w:rPr>
      <w:i/>
      <w:iCs/>
    </w:rPr>
  </w:style>
  <w:style w:type="character" w:customStyle="1" w:styleId="BulletsQuoteChar">
    <w:name w:val="Bullets Quote Char"/>
    <w:basedOn w:val="ListParagraphChar"/>
    <w:link w:val="BulletsQuote"/>
    <w:rsid w:val="008A5B94"/>
    <w:rPr>
      <w:rFonts w:ascii="HelveticaNeueLT Std Lt" w:eastAsia="Arial" w:hAnsi="HelveticaNeueLT Std Lt" w:cs="Arial"/>
      <w:i/>
      <w:iCs/>
      <w:sz w:val="24"/>
      <w:szCs w:val="24"/>
      <w:lang w:val="en-IE"/>
    </w:rPr>
  </w:style>
  <w:style w:type="paragraph" w:customStyle="1" w:styleId="Bullets-Numbererd">
    <w:name w:val="Bullets - Numbererd"/>
    <w:basedOn w:val="ListParagraph"/>
    <w:link w:val="Bullets-NumbererdChar"/>
    <w:qFormat/>
    <w:rsid w:val="008A5B94"/>
    <w:pPr>
      <w:numPr>
        <w:numId w:val="6"/>
      </w:numPr>
    </w:pPr>
  </w:style>
  <w:style w:type="character" w:customStyle="1" w:styleId="Bullets-NumbererdChar">
    <w:name w:val="Bullets - Numbererd Char"/>
    <w:basedOn w:val="ListParagraphChar"/>
    <w:link w:val="Bullets-Numbererd"/>
    <w:rsid w:val="008A5B94"/>
    <w:rPr>
      <w:rFonts w:ascii="HelveticaNeueLT Std Lt" w:eastAsia="Arial" w:hAnsi="HelveticaNeueLT Std Lt" w:cs="Arial"/>
      <w:sz w:val="24"/>
      <w:szCs w:val="24"/>
      <w:lang w:val="en-IE"/>
    </w:rPr>
  </w:style>
  <w:style w:type="paragraph" w:styleId="TOCHeading">
    <w:name w:val="TOC Heading"/>
    <w:basedOn w:val="Heading1"/>
    <w:next w:val="Normal"/>
    <w:uiPriority w:val="39"/>
    <w:unhideWhenUsed/>
    <w:qFormat/>
    <w:rsid w:val="00C93E83"/>
    <w:pPr>
      <w:keepNext/>
      <w:keepLines/>
      <w:widowControl/>
      <w:autoSpaceDE/>
      <w:autoSpaceDN/>
      <w:spacing w:before="240" w:line="259" w:lineRule="auto"/>
      <w:outlineLvl w:val="9"/>
    </w:pPr>
    <w:rPr>
      <w:rFonts w:asciiTheme="majorHAnsi" w:eastAsiaTheme="majorEastAsia" w:hAnsiTheme="majorHAnsi" w:cstheme="majorBidi"/>
      <w:color w:val="2F5496" w:themeColor="accent1" w:themeShade="BF"/>
      <w:sz w:val="32"/>
      <w:szCs w:val="32"/>
      <w:lang w:val="en-US"/>
    </w:rPr>
  </w:style>
  <w:style w:type="paragraph" w:styleId="TOC1">
    <w:name w:val="toc 1"/>
    <w:basedOn w:val="Normal"/>
    <w:next w:val="Normal"/>
    <w:autoRedefine/>
    <w:uiPriority w:val="39"/>
    <w:unhideWhenUsed/>
    <w:rsid w:val="00C93E83"/>
    <w:pPr>
      <w:tabs>
        <w:tab w:val="clear" w:pos="2820"/>
      </w:tabs>
      <w:spacing w:after="100"/>
    </w:pPr>
  </w:style>
  <w:style w:type="paragraph" w:styleId="TOC2">
    <w:name w:val="toc 2"/>
    <w:basedOn w:val="Normal"/>
    <w:next w:val="Normal"/>
    <w:autoRedefine/>
    <w:uiPriority w:val="39"/>
    <w:unhideWhenUsed/>
    <w:rsid w:val="00C93E83"/>
    <w:pPr>
      <w:tabs>
        <w:tab w:val="clear" w:pos="2820"/>
      </w:tabs>
      <w:spacing w:after="100"/>
      <w:ind w:left="240"/>
    </w:pPr>
  </w:style>
  <w:style w:type="paragraph" w:styleId="TOC3">
    <w:name w:val="toc 3"/>
    <w:basedOn w:val="Normal"/>
    <w:next w:val="Normal"/>
    <w:autoRedefine/>
    <w:uiPriority w:val="39"/>
    <w:unhideWhenUsed/>
    <w:rsid w:val="00C93E83"/>
    <w:pPr>
      <w:tabs>
        <w:tab w:val="clear" w:pos="2820"/>
      </w:tabs>
      <w:spacing w:after="100"/>
      <w:ind w:left="480"/>
    </w:pPr>
  </w:style>
  <w:style w:type="character" w:styleId="Hyperlink">
    <w:name w:val="Hyperlink"/>
    <w:basedOn w:val="DefaultParagraphFont"/>
    <w:uiPriority w:val="99"/>
    <w:unhideWhenUsed/>
    <w:rsid w:val="00C93E83"/>
    <w:rPr>
      <w:color w:val="0563C1" w:themeColor="hyperlink"/>
      <w:u w:val="single"/>
    </w:rPr>
  </w:style>
  <w:style w:type="paragraph" w:customStyle="1" w:styleId="TableFigureCaption">
    <w:name w:val="Table/Figure Caption"/>
    <w:basedOn w:val="Normal"/>
    <w:qFormat/>
    <w:rsid w:val="002F50ED"/>
    <w:rPr>
      <w:i/>
      <w:iCs/>
      <w:szCs w:val="20"/>
    </w:rPr>
  </w:style>
  <w:style w:type="table" w:styleId="TableGridLight">
    <w:name w:val="Grid Table Light"/>
    <w:basedOn w:val="TableNormal"/>
    <w:uiPriority w:val="40"/>
    <w:rsid w:val="00EC49C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aption">
    <w:name w:val="caption"/>
    <w:basedOn w:val="Normal"/>
    <w:next w:val="Normal"/>
    <w:uiPriority w:val="35"/>
    <w:unhideWhenUsed/>
    <w:qFormat/>
    <w:rsid w:val="0065012F"/>
    <w:pPr>
      <w:spacing w:after="200"/>
    </w:pPr>
    <w:rPr>
      <w:i/>
      <w:iCs/>
      <w:color w:val="44546A" w:themeColor="text2"/>
      <w:sz w:val="18"/>
      <w:szCs w:val="18"/>
    </w:rPr>
  </w:style>
  <w:style w:type="paragraph" w:styleId="NormalWeb">
    <w:name w:val="Normal (Web)"/>
    <w:basedOn w:val="Normal"/>
    <w:uiPriority w:val="99"/>
    <w:semiHidden/>
    <w:unhideWhenUsed/>
    <w:rsid w:val="00F11524"/>
    <w:pPr>
      <w:widowControl/>
      <w:tabs>
        <w:tab w:val="clear" w:pos="2820"/>
      </w:tabs>
      <w:autoSpaceDE/>
      <w:autoSpaceDN/>
      <w:spacing w:before="100" w:beforeAutospacing="1" w:after="100" w:afterAutospacing="1"/>
    </w:pPr>
    <w:rPr>
      <w:rFonts w:ascii="Times New Roman" w:eastAsia="Times New Roman" w:hAnsi="Times New Roman" w:cs="Times New Roman"/>
      <w:lang w:eastAsia="en-IE"/>
    </w:rPr>
  </w:style>
  <w:style w:type="table" w:styleId="PlainTable4">
    <w:name w:val="Plain Table 4"/>
    <w:basedOn w:val="TableNormal"/>
    <w:uiPriority w:val="44"/>
    <w:rsid w:val="003D363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trong">
    <w:name w:val="Strong"/>
    <w:basedOn w:val="DefaultParagraphFont"/>
    <w:uiPriority w:val="22"/>
    <w:qFormat/>
    <w:rsid w:val="00FC2204"/>
    <w:rPr>
      <w:b/>
      <w:bCs/>
    </w:rPr>
  </w:style>
  <w:style w:type="paragraph" w:styleId="NoSpacing">
    <w:name w:val="No Spacing"/>
    <w:uiPriority w:val="1"/>
    <w:qFormat/>
    <w:rsid w:val="00965B4B"/>
    <w:pPr>
      <w:widowControl w:val="0"/>
      <w:tabs>
        <w:tab w:val="left" w:pos="2820"/>
      </w:tabs>
      <w:autoSpaceDE w:val="0"/>
      <w:autoSpaceDN w:val="0"/>
      <w:spacing w:after="0" w:line="240" w:lineRule="auto"/>
      <w:jc w:val="both"/>
    </w:pPr>
    <w:rPr>
      <w:rFonts w:ascii="Dashiell Text" w:eastAsia="Arial" w:hAnsi="Dashiell Text" w:cs="Arial"/>
      <w:sz w:val="24"/>
      <w:szCs w:val="24"/>
    </w:rPr>
  </w:style>
  <w:style w:type="paragraph" w:customStyle="1" w:styleId="Pa3">
    <w:name w:val="Pa3"/>
    <w:basedOn w:val="Normal"/>
    <w:next w:val="Normal"/>
    <w:uiPriority w:val="99"/>
    <w:rsid w:val="00A80756"/>
    <w:pPr>
      <w:widowControl/>
      <w:tabs>
        <w:tab w:val="clear" w:pos="2820"/>
      </w:tabs>
      <w:adjustRightInd w:val="0"/>
      <w:spacing w:line="161" w:lineRule="atLeast"/>
      <w:jc w:val="left"/>
    </w:pPr>
    <w:rPr>
      <w:rFonts w:eastAsiaTheme="minorHAnsi" w:cstheme="minorBidi"/>
      <w:lang w:val="en-IE"/>
    </w:rPr>
  </w:style>
  <w:style w:type="character" w:styleId="UnresolvedMention">
    <w:name w:val="Unresolved Mention"/>
    <w:basedOn w:val="DefaultParagraphFont"/>
    <w:uiPriority w:val="99"/>
    <w:semiHidden/>
    <w:unhideWhenUsed/>
    <w:rsid w:val="005764B0"/>
    <w:rPr>
      <w:color w:val="605E5C"/>
      <w:shd w:val="clear" w:color="auto" w:fill="E1DFDD"/>
    </w:rPr>
  </w:style>
  <w:style w:type="character" w:styleId="CommentReference">
    <w:name w:val="annotation reference"/>
    <w:basedOn w:val="DefaultParagraphFont"/>
    <w:uiPriority w:val="99"/>
    <w:semiHidden/>
    <w:unhideWhenUsed/>
    <w:rsid w:val="00023470"/>
    <w:rPr>
      <w:sz w:val="16"/>
      <w:szCs w:val="16"/>
    </w:rPr>
  </w:style>
  <w:style w:type="paragraph" w:styleId="CommentText">
    <w:name w:val="annotation text"/>
    <w:basedOn w:val="Normal"/>
    <w:link w:val="CommentTextChar"/>
    <w:uiPriority w:val="99"/>
    <w:unhideWhenUsed/>
    <w:rsid w:val="00023470"/>
    <w:rPr>
      <w:sz w:val="20"/>
      <w:szCs w:val="20"/>
    </w:rPr>
  </w:style>
  <w:style w:type="character" w:customStyle="1" w:styleId="CommentTextChar">
    <w:name w:val="Comment Text Char"/>
    <w:basedOn w:val="DefaultParagraphFont"/>
    <w:link w:val="CommentText"/>
    <w:uiPriority w:val="99"/>
    <w:rsid w:val="00023470"/>
    <w:rPr>
      <w:rFonts w:ascii="Dashiell Text" w:eastAsia="Arial" w:hAnsi="Dashiell Text"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121878">
      <w:bodyDiv w:val="1"/>
      <w:marLeft w:val="0"/>
      <w:marRight w:val="0"/>
      <w:marTop w:val="0"/>
      <w:marBottom w:val="0"/>
      <w:divBdr>
        <w:top w:val="none" w:sz="0" w:space="0" w:color="auto"/>
        <w:left w:val="none" w:sz="0" w:space="0" w:color="auto"/>
        <w:bottom w:val="none" w:sz="0" w:space="0" w:color="auto"/>
        <w:right w:val="none" w:sz="0" w:space="0" w:color="auto"/>
      </w:divBdr>
    </w:div>
    <w:div w:id="178398033">
      <w:bodyDiv w:val="1"/>
      <w:marLeft w:val="0"/>
      <w:marRight w:val="0"/>
      <w:marTop w:val="0"/>
      <w:marBottom w:val="0"/>
      <w:divBdr>
        <w:top w:val="none" w:sz="0" w:space="0" w:color="auto"/>
        <w:left w:val="none" w:sz="0" w:space="0" w:color="auto"/>
        <w:bottom w:val="none" w:sz="0" w:space="0" w:color="auto"/>
        <w:right w:val="none" w:sz="0" w:space="0" w:color="auto"/>
      </w:divBdr>
    </w:div>
    <w:div w:id="325090181">
      <w:bodyDiv w:val="1"/>
      <w:marLeft w:val="0"/>
      <w:marRight w:val="0"/>
      <w:marTop w:val="0"/>
      <w:marBottom w:val="0"/>
      <w:divBdr>
        <w:top w:val="none" w:sz="0" w:space="0" w:color="auto"/>
        <w:left w:val="none" w:sz="0" w:space="0" w:color="auto"/>
        <w:bottom w:val="none" w:sz="0" w:space="0" w:color="auto"/>
        <w:right w:val="none" w:sz="0" w:space="0" w:color="auto"/>
      </w:divBdr>
    </w:div>
    <w:div w:id="419176522">
      <w:bodyDiv w:val="1"/>
      <w:marLeft w:val="0"/>
      <w:marRight w:val="0"/>
      <w:marTop w:val="0"/>
      <w:marBottom w:val="0"/>
      <w:divBdr>
        <w:top w:val="none" w:sz="0" w:space="0" w:color="auto"/>
        <w:left w:val="none" w:sz="0" w:space="0" w:color="auto"/>
        <w:bottom w:val="none" w:sz="0" w:space="0" w:color="auto"/>
        <w:right w:val="none" w:sz="0" w:space="0" w:color="auto"/>
      </w:divBdr>
    </w:div>
    <w:div w:id="509638420">
      <w:bodyDiv w:val="1"/>
      <w:marLeft w:val="0"/>
      <w:marRight w:val="0"/>
      <w:marTop w:val="0"/>
      <w:marBottom w:val="0"/>
      <w:divBdr>
        <w:top w:val="none" w:sz="0" w:space="0" w:color="auto"/>
        <w:left w:val="none" w:sz="0" w:space="0" w:color="auto"/>
        <w:bottom w:val="none" w:sz="0" w:space="0" w:color="auto"/>
        <w:right w:val="none" w:sz="0" w:space="0" w:color="auto"/>
      </w:divBdr>
    </w:div>
    <w:div w:id="575283419">
      <w:bodyDiv w:val="1"/>
      <w:marLeft w:val="0"/>
      <w:marRight w:val="0"/>
      <w:marTop w:val="0"/>
      <w:marBottom w:val="0"/>
      <w:divBdr>
        <w:top w:val="none" w:sz="0" w:space="0" w:color="auto"/>
        <w:left w:val="none" w:sz="0" w:space="0" w:color="auto"/>
        <w:bottom w:val="none" w:sz="0" w:space="0" w:color="auto"/>
        <w:right w:val="none" w:sz="0" w:space="0" w:color="auto"/>
      </w:divBdr>
    </w:div>
    <w:div w:id="608272192">
      <w:bodyDiv w:val="1"/>
      <w:marLeft w:val="0"/>
      <w:marRight w:val="0"/>
      <w:marTop w:val="0"/>
      <w:marBottom w:val="0"/>
      <w:divBdr>
        <w:top w:val="none" w:sz="0" w:space="0" w:color="auto"/>
        <w:left w:val="none" w:sz="0" w:space="0" w:color="auto"/>
        <w:bottom w:val="none" w:sz="0" w:space="0" w:color="auto"/>
        <w:right w:val="none" w:sz="0" w:space="0" w:color="auto"/>
      </w:divBdr>
    </w:div>
    <w:div w:id="641498907">
      <w:bodyDiv w:val="1"/>
      <w:marLeft w:val="0"/>
      <w:marRight w:val="0"/>
      <w:marTop w:val="0"/>
      <w:marBottom w:val="0"/>
      <w:divBdr>
        <w:top w:val="none" w:sz="0" w:space="0" w:color="auto"/>
        <w:left w:val="none" w:sz="0" w:space="0" w:color="auto"/>
        <w:bottom w:val="none" w:sz="0" w:space="0" w:color="auto"/>
        <w:right w:val="none" w:sz="0" w:space="0" w:color="auto"/>
      </w:divBdr>
    </w:div>
    <w:div w:id="898981526">
      <w:bodyDiv w:val="1"/>
      <w:marLeft w:val="0"/>
      <w:marRight w:val="0"/>
      <w:marTop w:val="0"/>
      <w:marBottom w:val="0"/>
      <w:divBdr>
        <w:top w:val="none" w:sz="0" w:space="0" w:color="auto"/>
        <w:left w:val="none" w:sz="0" w:space="0" w:color="auto"/>
        <w:bottom w:val="none" w:sz="0" w:space="0" w:color="auto"/>
        <w:right w:val="none" w:sz="0" w:space="0" w:color="auto"/>
      </w:divBdr>
    </w:div>
    <w:div w:id="913009902">
      <w:bodyDiv w:val="1"/>
      <w:marLeft w:val="0"/>
      <w:marRight w:val="0"/>
      <w:marTop w:val="0"/>
      <w:marBottom w:val="0"/>
      <w:divBdr>
        <w:top w:val="none" w:sz="0" w:space="0" w:color="auto"/>
        <w:left w:val="none" w:sz="0" w:space="0" w:color="auto"/>
        <w:bottom w:val="none" w:sz="0" w:space="0" w:color="auto"/>
        <w:right w:val="none" w:sz="0" w:space="0" w:color="auto"/>
      </w:divBdr>
    </w:div>
    <w:div w:id="1037271021">
      <w:bodyDiv w:val="1"/>
      <w:marLeft w:val="0"/>
      <w:marRight w:val="0"/>
      <w:marTop w:val="0"/>
      <w:marBottom w:val="0"/>
      <w:divBdr>
        <w:top w:val="none" w:sz="0" w:space="0" w:color="auto"/>
        <w:left w:val="none" w:sz="0" w:space="0" w:color="auto"/>
        <w:bottom w:val="none" w:sz="0" w:space="0" w:color="auto"/>
        <w:right w:val="none" w:sz="0" w:space="0" w:color="auto"/>
      </w:divBdr>
    </w:div>
    <w:div w:id="1057707342">
      <w:bodyDiv w:val="1"/>
      <w:marLeft w:val="0"/>
      <w:marRight w:val="0"/>
      <w:marTop w:val="0"/>
      <w:marBottom w:val="0"/>
      <w:divBdr>
        <w:top w:val="none" w:sz="0" w:space="0" w:color="auto"/>
        <w:left w:val="none" w:sz="0" w:space="0" w:color="auto"/>
        <w:bottom w:val="none" w:sz="0" w:space="0" w:color="auto"/>
        <w:right w:val="none" w:sz="0" w:space="0" w:color="auto"/>
      </w:divBdr>
    </w:div>
    <w:div w:id="1185747838">
      <w:bodyDiv w:val="1"/>
      <w:marLeft w:val="0"/>
      <w:marRight w:val="0"/>
      <w:marTop w:val="0"/>
      <w:marBottom w:val="0"/>
      <w:divBdr>
        <w:top w:val="none" w:sz="0" w:space="0" w:color="auto"/>
        <w:left w:val="none" w:sz="0" w:space="0" w:color="auto"/>
        <w:bottom w:val="none" w:sz="0" w:space="0" w:color="auto"/>
        <w:right w:val="none" w:sz="0" w:space="0" w:color="auto"/>
      </w:divBdr>
    </w:div>
    <w:div w:id="1200119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5164E8-D1A7-4F72-BE9B-A29F2B3D67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16</Pages>
  <Words>5292</Words>
  <Characters>30171</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35393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Fitzgibbon</dc:creator>
  <cp:keywords/>
  <dc:description/>
  <cp:lastModifiedBy>Marie Gavin</cp:lastModifiedBy>
  <cp:revision>10</cp:revision>
  <dcterms:created xsi:type="dcterms:W3CDTF">2026-02-10T15:29:00Z</dcterms:created>
  <dcterms:modified xsi:type="dcterms:W3CDTF">2026-02-10T16:37:00Z</dcterms:modified>
</cp:coreProperties>
</file>