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3A2BC" w14:textId="77777777" w:rsidR="00332628" w:rsidRPr="0067353E" w:rsidRDefault="00332628" w:rsidP="0067353E"/>
    <w:p w14:paraId="0966BD4C" w14:textId="77777777" w:rsidR="00C33C7F" w:rsidRDefault="008B73E9">
      <w:r>
        <w:rPr>
          <w:noProof/>
        </w:rPr>
        <w:drawing>
          <wp:inline distT="0" distB="0" distL="0" distR="0" wp14:anchorId="15040789" wp14:editId="56A1CEA3">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6B4D8121" w14:textId="77777777" w:rsidR="008B73E9" w:rsidRDefault="008B73E9">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p>
    <w:p w14:paraId="511B0271" w14:textId="77777777" w:rsidR="008B73E9" w:rsidRDefault="008B73E9">
      <w:pPr>
        <w:jc w:val="center"/>
        <w:rPr>
          <w:rFonts w:ascii="Helvetica" w:hAnsi="Helvetica"/>
          <w:color w:val="000000"/>
          <w:sz w:val="52"/>
        </w:rPr>
      </w:pPr>
    </w:p>
    <w:p w14:paraId="7E704A36" w14:textId="77777777" w:rsidR="008B73E9" w:rsidRDefault="008B73E9">
      <w:pPr>
        <w:jc w:val="center"/>
        <w:rPr>
          <w:rFonts w:ascii="Helvetica" w:hAnsi="Helvetica"/>
          <w:color w:val="000000"/>
          <w:sz w:val="52"/>
        </w:rPr>
      </w:pPr>
    </w:p>
    <w:p w14:paraId="74CCAD50" w14:textId="77777777" w:rsidR="008B73E9" w:rsidRDefault="008B73E9">
      <w:pPr>
        <w:jc w:val="center"/>
        <w:rPr>
          <w:rFonts w:ascii="Helvetica" w:hAnsi="Helvetica"/>
          <w:color w:val="000000"/>
          <w:sz w:val="52"/>
        </w:rPr>
      </w:pPr>
    </w:p>
    <w:p w14:paraId="4578CC86" w14:textId="34DBF181" w:rsidR="00C33C7F" w:rsidRDefault="008B73E9">
      <w:pPr>
        <w:jc w:val="center"/>
      </w:pPr>
      <w:r>
        <w:rPr>
          <w:rFonts w:ascii="Helvetica" w:hAnsi="Helvetica"/>
          <w:color w:val="000000"/>
          <w:sz w:val="52"/>
        </w:rPr>
        <w:br/>
      </w:r>
    </w:p>
    <w:p w14:paraId="464B1693" w14:textId="77777777" w:rsidR="00C33C7F" w:rsidRDefault="008B73E9">
      <w:pPr>
        <w:jc w:val="center"/>
      </w:pPr>
      <w:r>
        <w:rPr>
          <w:rFonts w:ascii="Arial" w:hAnsi="Arial"/>
          <w:color w:val="000000"/>
          <w:sz w:val="36"/>
        </w:rPr>
        <w:t>(13/04/2026-19/04/2026)</w:t>
      </w:r>
    </w:p>
    <w:p w14:paraId="0BA46659" w14:textId="77777777" w:rsidR="008B73E9" w:rsidRDefault="008B73E9">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p>
    <w:p w14:paraId="6F6D2574" w14:textId="77777777" w:rsidR="008B73E9" w:rsidRDefault="008B73E9">
      <w:pPr>
        <w:jc w:val="both"/>
        <w:rPr>
          <w:rFonts w:ascii="Arial" w:hAnsi="Arial"/>
          <w:color w:val="000000"/>
          <w:sz w:val="20"/>
        </w:rPr>
      </w:pPr>
    </w:p>
    <w:p w14:paraId="21D57E30" w14:textId="77777777" w:rsidR="008B73E9" w:rsidRDefault="008B73E9">
      <w:pPr>
        <w:jc w:val="both"/>
        <w:rPr>
          <w:rFonts w:ascii="Arial" w:hAnsi="Arial"/>
          <w:color w:val="000000"/>
          <w:sz w:val="20"/>
        </w:rPr>
      </w:pPr>
    </w:p>
    <w:p w14:paraId="15EA848E" w14:textId="77777777" w:rsidR="008B73E9" w:rsidRDefault="008B73E9">
      <w:pPr>
        <w:jc w:val="both"/>
        <w:rPr>
          <w:rFonts w:ascii="Arial" w:hAnsi="Arial"/>
          <w:color w:val="000000"/>
          <w:sz w:val="20"/>
        </w:rPr>
      </w:pPr>
    </w:p>
    <w:p w14:paraId="558FB25F" w14:textId="77777777" w:rsidR="008B73E9" w:rsidRDefault="008B73E9">
      <w:pPr>
        <w:jc w:val="both"/>
        <w:rPr>
          <w:rFonts w:ascii="Arial" w:hAnsi="Arial"/>
          <w:color w:val="000000"/>
          <w:sz w:val="20"/>
        </w:rPr>
      </w:pPr>
    </w:p>
    <w:p w14:paraId="49ADD128" w14:textId="60EBEA7D" w:rsidR="00C33C7F" w:rsidRDefault="008B73E9">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2C3DB783" w14:textId="77777777" w:rsidR="00C33C7F" w:rsidRDefault="008B73E9">
      <w:r>
        <w:br w:type="page"/>
      </w:r>
    </w:p>
    <w:p w14:paraId="56B5D71C" w14:textId="77777777" w:rsidR="00C33C7F" w:rsidRDefault="008B73E9">
      <w:pPr>
        <w:jc w:val="center"/>
      </w:pPr>
      <w:r>
        <w:rPr>
          <w:rFonts w:ascii="Arial" w:hAnsi="Arial"/>
          <w:color w:val="000000"/>
          <w:sz w:val="24"/>
        </w:rPr>
        <w:lastRenderedPageBreak/>
        <w:br/>
        <w:t>WEEKLY PLANNING LISTS</w:t>
      </w:r>
    </w:p>
    <w:p w14:paraId="190A21B2" w14:textId="77777777" w:rsidR="00C33C7F" w:rsidRDefault="008B73E9">
      <w:pPr>
        <w:jc w:val="center"/>
      </w:pPr>
      <w:r>
        <w:rPr>
          <w:rFonts w:ascii="Arial" w:hAnsi="Arial"/>
          <w:b/>
          <w:color w:val="000000"/>
        </w:rPr>
        <w:t>Article 27(2), Planning &amp; Development Regulations 2001 (as amended)</w:t>
      </w:r>
    </w:p>
    <w:p w14:paraId="34BB58F2" w14:textId="77777777" w:rsidR="00C33C7F" w:rsidRDefault="008B73E9">
      <w:r>
        <w:rPr>
          <w:rFonts w:ascii="Arial" w:hAnsi="Arial"/>
          <w:color w:val="000000"/>
          <w:sz w:val="24"/>
        </w:rPr>
        <w:t>(a)  Under section 34 of the Act, the applications for permission may be granted permission, subject to or without conditions, or refused.</w:t>
      </w:r>
    </w:p>
    <w:p w14:paraId="125006FF" w14:textId="77777777" w:rsidR="00C33C7F" w:rsidRDefault="008B73E9">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3291844" w14:textId="77777777" w:rsidR="00C33C7F" w:rsidRDefault="008B73E9">
      <w:pPr>
        <w:jc w:val="center"/>
      </w:pPr>
      <w:r>
        <w:rPr>
          <w:rFonts w:ascii="Arial" w:hAnsi="Arial"/>
          <w:b/>
          <w:color w:val="000000"/>
        </w:rPr>
        <w:t>Article 31(g), Planning &amp; Development Regulations 2001 (as amended)</w:t>
      </w:r>
    </w:p>
    <w:p w14:paraId="7A94A1F2" w14:textId="77777777" w:rsidR="00C33C7F" w:rsidRDefault="008B73E9">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315B86D" w14:textId="77777777" w:rsidR="00C33C7F" w:rsidRDefault="008B73E9">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350FCA5" w14:textId="77777777" w:rsidR="00C33C7F" w:rsidRDefault="008B73E9">
      <w:pPr>
        <w:jc w:val="center"/>
      </w:pPr>
      <w:r>
        <w:rPr>
          <w:rFonts w:ascii="Arial" w:hAnsi="Arial"/>
          <w:color w:val="000000"/>
          <w:sz w:val="24"/>
        </w:rPr>
        <w:br/>
        <w:t>PLANNING INFORMATION SESSIONS</w:t>
      </w:r>
    </w:p>
    <w:p w14:paraId="34F937FC" w14:textId="77777777" w:rsidR="00C33C7F" w:rsidRDefault="008B73E9">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7E5838E" w14:textId="77777777" w:rsidR="00C33C7F" w:rsidRDefault="008B73E9">
      <w:pPr>
        <w:jc w:val="center"/>
      </w:pPr>
      <w:r>
        <w:rPr>
          <w:noProof/>
        </w:rPr>
        <w:drawing>
          <wp:inline distT="0" distB="0" distL="0" distR="0" wp14:anchorId="18813914" wp14:editId="30778364">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1AF4C398" w14:textId="77777777" w:rsidR="00C33C7F" w:rsidRDefault="008B73E9">
      <w:pPr>
        <w:jc w:val="center"/>
      </w:pPr>
      <w:r>
        <w:rPr>
          <w:rFonts w:ascii="Arial" w:hAnsi="Arial"/>
          <w:b/>
          <w:color w:val="00007F"/>
          <w:sz w:val="26"/>
        </w:rPr>
        <w:lastRenderedPageBreak/>
        <w:t xml:space="preserve">Area 4 </w:t>
      </w:r>
      <w:r>
        <w:rPr>
          <w:rFonts w:ascii="Arial" w:hAnsi="Arial"/>
          <w:b/>
          <w:color w:val="00007F"/>
          <w:sz w:val="26"/>
        </w:rPr>
        <w:br/>
        <w:t>COMMERCIAL</w:t>
      </w:r>
    </w:p>
    <w:p w14:paraId="3B004C00" w14:textId="77777777" w:rsidR="00C33C7F" w:rsidRDefault="008B73E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Laurence Hayden (Principal)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Saint Joseph's Girls National School, Barry Avenue,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Finglas West, Dublin 11, D11 A8PD</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 the demolition of a section of the existing concrete shelter, metal fencing and wall, b) the relocation of a section of the metal fencing and c) making good the surrounding area together with all associated works.</w:t>
      </w:r>
    </w:p>
    <w:p w14:paraId="1570752B" w14:textId="77777777" w:rsidR="00C33C7F" w:rsidRDefault="008B73E9">
      <w:pPr>
        <w:jc w:val="center"/>
      </w:pPr>
      <w:r>
        <w:rPr>
          <w:rFonts w:ascii="Arial" w:hAnsi="Arial"/>
          <w:color w:val="000000"/>
        </w:rPr>
        <w:t>______________________________________________________________________________</w:t>
      </w:r>
    </w:p>
    <w:p w14:paraId="164BABF2" w14:textId="77777777" w:rsidR="00C33C7F" w:rsidRDefault="008B73E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WEB1888/26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Laurence Hayden (Principal)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Joseph’s Girls National School, Barry Avenue,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Finglas West,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 the demolition of a section of the existing concrete shelter, metal fencing and wall, b) the relocation of a section of the metal fencing and c) making good the surrounding area together with all associated works</w:t>
      </w:r>
    </w:p>
    <w:p w14:paraId="701014AA" w14:textId="77777777" w:rsidR="00C33C7F" w:rsidRDefault="008B73E9">
      <w:pPr>
        <w:jc w:val="center"/>
      </w:pPr>
      <w:r>
        <w:rPr>
          <w:rFonts w:ascii="Arial" w:hAnsi="Arial"/>
          <w:color w:val="000000"/>
        </w:rPr>
        <w:t>______________________________________________________________________________</w:t>
      </w:r>
    </w:p>
    <w:p w14:paraId="33F5AEFA" w14:textId="57E3ABC7" w:rsidR="00C33C7F" w:rsidRDefault="008B73E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WEBLRD6095/26-S3</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Large Residential Development-3</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1CairnHomesPropLtd 2FinglasMcKeeProp 3FinglasRegen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“Jamestown Lands” comprising the factory sites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Haribo (Eircode D11 Y266), Sigma (Buildings 1 and 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Eircode D11 PH2A), and unnamed warehouse buildings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(Eircodes D11 E657 and D11 P2TT), Jamestown Business</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Park, Jamestown Road and McKee Avenue, Finglas</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Cairn Homes Properties Limited, Finglas Regen Ltd., and Finglas McKee Property Developments Ltd. intend to apply for a seven year permission for a Large-Scale Residential Development (LRD) at a site of c.4.64ha at 'Jamestown Lands' comprising the factory sites of Haribo (Eircode D11 Y266), Sigma (Buildings 1 and 2, Eircode D11 PH2A), and unnamed warehouse buildings (Eircodes D11 E657 and D11 P2TT), Jamestown Business Park, Jamestown Road and McKee Avenue, Finglas, Dublin 11. The application site is bound by Jamestown Road to the east and McKee Avenue to the west, and existing industrial buildings/ sites to the north and south. The proposal will comprise the demolition of 3 no. existing buildings in full (including associated substations), and the partial demolition of 1 no. building to enable the retention of the office building to the front. The existing office building will be retained and made good. Total area for demolition is c. 21,265sqm. The proposed development will comprise residential-led, mixed use development of 715 no. residential units (comprising 320 no. 1-bed apartments, 376 no. 2-bed </w:t>
      </w:r>
      <w:r>
        <w:rPr>
          <w:rFonts w:ascii="Arial" w:hAnsi="Arial"/>
          <w:color w:val="000000"/>
        </w:rPr>
        <w:lastRenderedPageBreak/>
        <w:t xml:space="preserve">apartments, and 19 no. 3 bed units comprising 12 no. townhouses, 4 no. duplex apartments and 3 no.  apartments), c.901sqm of retail/ commercial floor area, c. 2,578sqm of community/cultural/arts space, and a c. 560sqm creche (with 140sqm external area) and all open spaces, car and cycle parking and accesses as detailed below. The development will consist of: 1. Cell 1 will comprise of 3 no. buildings and will provide a total of 105 no. apartments and houses. Building 101 will comprise a terrace of 12 no. 3 bedroom back-to-back 3 storey town houses fronting onto McKee Avenue. Building 102 (up to 5 storeys in height) will provide 44 no. apartments (22 no. 1-bed units and 18 no. 2-bed units, and 4 no. 3-bed units).  Building 103 (up to 6 storeys in height) will includes a retail unit of c.327.9 sqm at ground floor level and 49 no. apartments (25 no. 1-bed units, 21 no. 2-bed units and 3 no. 3-bed units). Cell 1 will also contain single storey bin stores, 4 single storey bicycle stores and an ESB substation building.  2. Cell 2 will comprise 4 no. buildings (above single level basement) and will provide a total of 182 no. apartments. Building 201 (up to 6 storeys in height) will comprise 41 no. apartments (5 no. 1 -beds and 36 no 2-beds) and a retail area of c.573sqm at ground floor level. Building 202 (9 storeys in height) will comprise 88 no. apartments (56 no. 1-bed units and 32 no. 2 bed units) and c.906.2sqm of community/culture/ arts space at ground floor level. Building 203 (6 storeys in height) will comprise 53 no. apartments (32 no. 1 bed units and 21 no.2-bed units) and c.384.8sqm of community/culture/ arts space at ground floor. External community/ culture/ arts space (c.1,287 sqm) will also be provided. Building 204 will comprise a 2-storey creche (c.560sqm with external area of 140sqm). Cell 2 will also contain 2no. single storey bin store buildings and a single storey ESB substation building. 3. Cell 3 will comprise 4 no. buildings (above single level basement) and will provide a total of 252 no. apartments. Building 301 (Up to 7 storeys in height) will comprise 70 no. apartments (48 no. 1-bed units, and 22 no. 2-bed units). Building 302 (7 storeys in height) will comprise 62 no. apartments (7 no. 1-bed units and 55 no. 2-bed units). Building 303 (6 storeys in height) will comprise 55 no. units, (41 no. 1-bed units, and 24 no. 2- bed units). Building 304 (up to 6 storeys in height) will comprise 55 no. Apartments (29 no. 1-bed units and 26 no. 2-bed units).  4. Cell 4 will comprise 4 no. buildings (above single level basement) and will provide a total of 176 no. apartments. Building 401 (up to 6 storeys in height) will comprises 61 no. Units (11 no. 1-bed units, and 50 no. 2-bed units). Building 402 (6 storeys in height) will comprise 41 no. Apartments (17 no. 1-bed units and 24 no. 2 bed units). Building 403 (4 storeys in height) will comprise 47 no. apartments (16 no. 1-bed units, and 31 no. 2-bed units). Building 404 (4 storeys in height) will comprise 27 no. apartments (11 no. 1-bed units and 16 no. 2-bed units). A single storey ESB substation building will be provided to the east of cell 4. Provision of external communal open space comprising landscaped garden courtyards within each cell along with children’s play area and outdoor fitness area, bicycle parking and lift / stairs to access basement. 5. Provision of public open spaces comprising a public plaza, green routes, and a park area to the north including formal and informal play areas, bicycle parking areas provided throughout the surface level of the site. 6. Shared vehicular and bicycle access from McKee Avenue and Jamestown Road. The proposed new road will provide linkages to the north and south as prescribed in the Jamestown Masterplan for SDRA3. 7. Provision of 491 no. car parking spaces and 1,509 no. cycle parking spaces at surface and basement levels for residents, businesses and visitors. Access ramp to the basement under Cells 2 – 4 is provided at Cell 3. 8. All associated site development including: import, export and reuse of material to achieve appropriate levels; infrastructure and enabling works including water services provision and upgrades, public utilities, and road upgrade works on Jamestown Road; provision of green/blue roofs and roof mounted photovoltaic (PV) panels; telecommunications equipment; ESB substations/switch rooms; ancillary storage and plant rooms; landscaping and boundary treatments; pedestrian accesses, and set down areas. An Environmental Impact Assessment Report (EIAR) has been prepared in respect of the proposed development. All application documentation and information are available to view online at the following website set up by the applicant: www.finglasregenlrdplanning.com The Planning Application, and Environmental Impact Assessment Report (EIAR) may be inspected or purchased at a fee not exceeding the reasonable cost of making a copy, at the offices of Dublin City Council, Planning Department, Block 4, Ground Floor, Civic Offices, Wood Quay, Dublin 8 </w:t>
      </w:r>
      <w:r>
        <w:rPr>
          <w:rFonts w:ascii="Arial" w:hAnsi="Arial"/>
          <w:color w:val="000000"/>
        </w:rPr>
        <w:lastRenderedPageBreak/>
        <w:t>during its public opening hours (9.00a.m.-4.30p.m.) or on Dublin City Council Website: www.dublincity.ie.</w:t>
      </w:r>
    </w:p>
    <w:p w14:paraId="734671FA" w14:textId="77777777" w:rsidR="00C33C7F" w:rsidRDefault="008B73E9">
      <w:pPr>
        <w:jc w:val="center"/>
      </w:pPr>
      <w:r>
        <w:rPr>
          <w:rFonts w:ascii="Arial" w:hAnsi="Arial"/>
          <w:color w:val="000000"/>
        </w:rPr>
        <w:t>______________________________________________________________________________</w:t>
      </w:r>
    </w:p>
    <w:p w14:paraId="708F76C2" w14:textId="77777777" w:rsidR="00C33C7F" w:rsidRDefault="008B73E9">
      <w:pPr>
        <w:jc w:val="center"/>
      </w:pPr>
      <w:r>
        <w:rPr>
          <w:rFonts w:ascii="Arial" w:hAnsi="Arial"/>
          <w:b/>
          <w:color w:val="00007F"/>
          <w:sz w:val="26"/>
        </w:rPr>
        <w:t xml:space="preserve">Area 4 </w:t>
      </w:r>
      <w:r>
        <w:rPr>
          <w:rFonts w:ascii="Arial" w:hAnsi="Arial"/>
          <w:b/>
          <w:color w:val="00007F"/>
          <w:sz w:val="26"/>
        </w:rPr>
        <w:br/>
        <w:t>DOMESTIC</w:t>
      </w:r>
    </w:p>
    <w:p w14:paraId="4ACBE2E4" w14:textId="77777777" w:rsidR="00C33C7F" w:rsidRDefault="008B73E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WEB1855/26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Daniel and Sarah Jane McGowan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51, Glasnevin Park, Dublin 11, D11 A2K5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&amp; PERMISSION: The proposed development comprises Retention Permission for single storey external structure housing Mechanical Plant for heating system for the existing dwelling, and Permission for Single Storey Garden Room for Home office, gym and storage, hard and soft landscaping, drainage including rainwater planters and ancillary site works to facilitate the proposed development.</w:t>
      </w:r>
    </w:p>
    <w:p w14:paraId="0ACC2CC2" w14:textId="77777777" w:rsidR="00C33C7F" w:rsidRDefault="008B73E9">
      <w:pPr>
        <w:jc w:val="center"/>
      </w:pPr>
      <w:r>
        <w:rPr>
          <w:rFonts w:ascii="Arial" w:hAnsi="Arial"/>
          <w:color w:val="000000"/>
        </w:rPr>
        <w:t>______________________________________________________________________________</w:t>
      </w:r>
    </w:p>
    <w:p w14:paraId="55DDBF7B" w14:textId="77777777" w:rsidR="00C33C7F" w:rsidRDefault="008B73E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WEB1867/26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Cian O'Leary and Siobhan Bradshaw</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28, Willow Park Avenue, Glasnevin,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garage conversion to a habitable space, a ground floor rear extension, and a side roof dormer to accommodate a new stairs to the existing attic conversion.</w:t>
      </w:r>
    </w:p>
    <w:p w14:paraId="3707A395" w14:textId="77777777" w:rsidR="00C33C7F" w:rsidRDefault="008B73E9">
      <w:pPr>
        <w:jc w:val="center"/>
      </w:pPr>
      <w:r>
        <w:rPr>
          <w:rFonts w:ascii="Arial" w:hAnsi="Arial"/>
          <w:color w:val="000000"/>
        </w:rPr>
        <w:t>______________________________________________________________________________</w:t>
      </w:r>
    </w:p>
    <w:p w14:paraId="3B1B5310" w14:textId="77777777" w:rsidR="00C33C7F" w:rsidRDefault="008B73E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WEB1877/26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Oisin Farrell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Shanliss Avenue,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conversion of an existing side garage into a habitable ground floor bedroom with new front facing window and a bootroom space to the rear. The development will also include the demolition of an existing single storey, lean-to extension to the rear, the construction of a rear, single storey, flat roof infill extension with 3no. Rooflights and all associated site works.</w:t>
      </w:r>
    </w:p>
    <w:p w14:paraId="224E4EAD" w14:textId="77777777" w:rsidR="00C33C7F" w:rsidRDefault="008B73E9">
      <w:pPr>
        <w:jc w:val="center"/>
      </w:pPr>
      <w:r>
        <w:rPr>
          <w:rFonts w:ascii="Arial" w:hAnsi="Arial"/>
          <w:color w:val="000000"/>
        </w:rPr>
        <w:t>______________________________________________________________________________</w:t>
      </w:r>
    </w:p>
    <w:p w14:paraId="7AA1EE74" w14:textId="77777777" w:rsidR="008B73E9" w:rsidRDefault="008B73E9">
      <w:pPr>
        <w:jc w:val="center"/>
        <w:rPr>
          <w:rFonts w:ascii="Arial" w:hAnsi="Arial"/>
          <w:b/>
          <w:color w:val="00007F"/>
          <w:sz w:val="26"/>
        </w:rPr>
      </w:pPr>
    </w:p>
    <w:p w14:paraId="5CA99AD2" w14:textId="77777777" w:rsidR="008B73E9" w:rsidRDefault="008B73E9">
      <w:pPr>
        <w:jc w:val="center"/>
        <w:rPr>
          <w:rFonts w:ascii="Arial" w:hAnsi="Arial"/>
          <w:b/>
          <w:color w:val="00007F"/>
          <w:sz w:val="26"/>
        </w:rPr>
      </w:pPr>
    </w:p>
    <w:p w14:paraId="312D0FBA" w14:textId="3145C52A" w:rsidR="00C33C7F" w:rsidRDefault="008B73E9">
      <w:pPr>
        <w:jc w:val="center"/>
      </w:pPr>
      <w:r>
        <w:rPr>
          <w:rFonts w:ascii="Arial" w:hAnsi="Arial"/>
          <w:b/>
          <w:color w:val="00007F"/>
          <w:sz w:val="26"/>
        </w:rPr>
        <w:lastRenderedPageBreak/>
        <w:t xml:space="preserve">Area 4 </w:t>
      </w:r>
      <w:r>
        <w:rPr>
          <w:rFonts w:ascii="Arial" w:hAnsi="Arial"/>
          <w:b/>
          <w:color w:val="00007F"/>
          <w:sz w:val="26"/>
        </w:rPr>
        <w:br/>
        <w:t>Decisions</w:t>
      </w:r>
    </w:p>
    <w:p w14:paraId="28C113FC" w14:textId="77777777" w:rsidR="00C33C7F" w:rsidRDefault="008B73E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Graham Projects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Green space at Claremont Lawns, Finglas Road,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 Section of lands already Temporarily Acquisitioned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CPO Plot Ref '1001(17).2i'</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Temporary Construction Site Compound for upcoming BusConnects Scheme Compound area approx 5400m². Temporary ESB, OpenEir &amp; Uisce Eireann (Potable &amp; Foul) connections. The compound will be used for Welfare Facilities &amp; Parking but the majority of the land will be used for Material Storage.</w:t>
      </w:r>
    </w:p>
    <w:p w14:paraId="122873FB" w14:textId="77777777" w:rsidR="00C33C7F" w:rsidRDefault="008B73E9">
      <w:pPr>
        <w:jc w:val="center"/>
      </w:pPr>
      <w:r>
        <w:rPr>
          <w:rFonts w:ascii="Arial" w:hAnsi="Arial"/>
          <w:color w:val="000000"/>
        </w:rPr>
        <w:t>______________________________________________________________________________</w:t>
      </w:r>
    </w:p>
    <w:p w14:paraId="34F617F6" w14:textId="77777777" w:rsidR="00C33C7F" w:rsidRDefault="008B73E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Rediscovery Centre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Rediscovery Centre, Coultry Road, Ballymun,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D09HK58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provision of 2 no. new ‘Aeropods’, 4.57m x 3.96m each, constructed of recycled aeroplanes for use as a break-out space from the Rediscovery centre and ancillary gardening works.</w:t>
      </w:r>
    </w:p>
    <w:p w14:paraId="6001FF8C" w14:textId="77777777" w:rsidR="00C33C7F" w:rsidRDefault="008B73E9">
      <w:pPr>
        <w:jc w:val="center"/>
      </w:pPr>
      <w:r>
        <w:rPr>
          <w:rFonts w:ascii="Arial" w:hAnsi="Arial"/>
          <w:color w:val="000000"/>
        </w:rPr>
        <w:t>______________________________________________________________________________</w:t>
      </w:r>
    </w:p>
    <w:p w14:paraId="47B58D21" w14:textId="77777777" w:rsidR="00C33C7F" w:rsidRDefault="008B73E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WEB1426/26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Aoife Jennings &amp; Thomas Barry Doherty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Cedarwood Park, Dublin 11, D11 HV58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sought to; 1. Construct single storey extension to rear. 2. To Demolish existing conservatory to rear. 3. To demolish existing garage to rear. 4. To convert existing attic space with flat roof dormers to front and rear and also to extend existing roof ridge to raised gable wall. 5. To extend existing vehicular entrance width from 2.5m - 3m and all associated site works.</w:t>
      </w:r>
    </w:p>
    <w:p w14:paraId="1AF3FAB7" w14:textId="77777777" w:rsidR="00C33C7F" w:rsidRDefault="008B73E9">
      <w:pPr>
        <w:jc w:val="center"/>
      </w:pPr>
      <w:r>
        <w:rPr>
          <w:rFonts w:ascii="Arial" w:hAnsi="Arial"/>
          <w:color w:val="000000"/>
        </w:rPr>
        <w:t>______________________________________________________________________________</w:t>
      </w:r>
    </w:p>
    <w:p w14:paraId="1CE5FC26" w14:textId="77777777" w:rsidR="00C33C7F" w:rsidRDefault="008B73E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WEB1830/26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Cian O'Leary and Siobhan Bradshaw</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28, Willow Park Avenue, Glasnevin, Dublin 11, D11 CK27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garage conversion to a habitable space, a ground floor rear extension, and a side roof dormer to accommodate a new stairs to the existing attic conversion.</w:t>
      </w:r>
    </w:p>
    <w:p w14:paraId="3E070416" w14:textId="77777777" w:rsidR="00C33C7F" w:rsidRDefault="008B73E9">
      <w:pPr>
        <w:jc w:val="center"/>
      </w:pPr>
      <w:r>
        <w:rPr>
          <w:rFonts w:ascii="Arial" w:hAnsi="Arial"/>
          <w:color w:val="000000"/>
        </w:rPr>
        <w:t>______________________________________________________________________________</w:t>
      </w:r>
    </w:p>
    <w:p w14:paraId="4A16ADBD" w14:textId="62B42B83" w:rsidR="008B73E9" w:rsidRDefault="008B73E9" w:rsidP="008B73E9">
      <w:pPr>
        <w:jc w:val="center"/>
        <w:rPr>
          <w:rFonts w:ascii="Arial" w:hAnsi="Arial"/>
          <w:b/>
          <w:color w:val="00007F"/>
          <w:sz w:val="26"/>
        </w:rPr>
      </w:pPr>
      <w:r>
        <w:rPr>
          <w:rFonts w:ascii="Arial" w:hAnsi="Arial"/>
          <w:b/>
          <w:color w:val="00007F"/>
          <w:sz w:val="26"/>
        </w:rPr>
        <w:t xml:space="preserve">Area 4 </w:t>
      </w:r>
      <w:r>
        <w:rPr>
          <w:rFonts w:ascii="Arial" w:hAnsi="Arial"/>
          <w:b/>
          <w:color w:val="00007F"/>
          <w:sz w:val="26"/>
        </w:rPr>
        <w:br/>
        <w:t>Appeals Notified</w:t>
      </w:r>
    </w:p>
    <w:p w14:paraId="60D3BA75" w14:textId="5559A919" w:rsidR="008B73E9" w:rsidRDefault="008B73E9" w:rsidP="008B73E9">
      <w:pPr>
        <w:jc w:val="center"/>
        <w:rPr>
          <w:rFonts w:ascii="Arial" w:hAnsi="Arial"/>
          <w:b/>
          <w:color w:val="00007F"/>
          <w:sz w:val="26"/>
        </w:rPr>
      </w:pPr>
      <w:r>
        <w:rPr>
          <w:rFonts w:ascii="Arial" w:hAnsi="Arial"/>
          <w:b/>
          <w:color w:val="00007F"/>
          <w:sz w:val="26"/>
        </w:rPr>
        <w:t>None</w:t>
      </w:r>
    </w:p>
    <w:p w14:paraId="36DF06AB" w14:textId="77777777" w:rsidR="008B73E9" w:rsidRDefault="008B73E9" w:rsidP="008B73E9">
      <w:pPr>
        <w:jc w:val="center"/>
      </w:pPr>
      <w:r>
        <w:rPr>
          <w:rFonts w:ascii="Arial" w:hAnsi="Arial"/>
          <w:color w:val="000000"/>
        </w:rPr>
        <w:t>______________________________________________________________________________</w:t>
      </w:r>
    </w:p>
    <w:p w14:paraId="54B4CB10" w14:textId="77777777" w:rsidR="008B73E9" w:rsidRDefault="008B73E9" w:rsidP="008B73E9">
      <w:pPr>
        <w:jc w:val="center"/>
        <w:rPr>
          <w:rFonts w:ascii="Arial" w:hAnsi="Arial"/>
          <w:b/>
          <w:color w:val="00007F"/>
          <w:sz w:val="26"/>
        </w:rPr>
      </w:pPr>
    </w:p>
    <w:p w14:paraId="227C1F1B" w14:textId="67A6E10D" w:rsidR="008B73E9" w:rsidRDefault="008B73E9" w:rsidP="008B73E9">
      <w:pPr>
        <w:jc w:val="center"/>
        <w:rPr>
          <w:rFonts w:ascii="Arial" w:hAnsi="Arial"/>
          <w:b/>
          <w:color w:val="00007F"/>
          <w:sz w:val="26"/>
        </w:rPr>
      </w:pPr>
      <w:r>
        <w:rPr>
          <w:rFonts w:ascii="Arial" w:hAnsi="Arial"/>
          <w:b/>
          <w:color w:val="00007F"/>
          <w:sz w:val="26"/>
        </w:rPr>
        <w:t xml:space="preserve">Area 4 </w:t>
      </w:r>
      <w:r>
        <w:rPr>
          <w:rFonts w:ascii="Arial" w:hAnsi="Arial"/>
          <w:b/>
          <w:color w:val="00007F"/>
          <w:sz w:val="26"/>
        </w:rPr>
        <w:br/>
        <w:t xml:space="preserve">Appeals </w:t>
      </w:r>
      <w:r w:rsidR="00486076">
        <w:rPr>
          <w:rFonts w:ascii="Arial" w:hAnsi="Arial"/>
          <w:b/>
          <w:color w:val="00007F"/>
          <w:sz w:val="26"/>
        </w:rPr>
        <w:t>Decided</w:t>
      </w:r>
    </w:p>
    <w:p w14:paraId="0EC21E63" w14:textId="77777777" w:rsidR="008B73E9" w:rsidRDefault="008B73E9" w:rsidP="008B73E9">
      <w:pPr>
        <w:jc w:val="center"/>
        <w:rPr>
          <w:rFonts w:ascii="Arial" w:hAnsi="Arial"/>
          <w:b/>
          <w:color w:val="00007F"/>
          <w:sz w:val="26"/>
        </w:rPr>
      </w:pPr>
      <w:r>
        <w:rPr>
          <w:rFonts w:ascii="Arial" w:hAnsi="Arial"/>
          <w:b/>
          <w:color w:val="00007F"/>
          <w:sz w:val="26"/>
        </w:rPr>
        <w:t>None</w:t>
      </w:r>
    </w:p>
    <w:p w14:paraId="3805328F" w14:textId="77777777" w:rsidR="008B73E9" w:rsidRDefault="008B73E9" w:rsidP="008B73E9">
      <w:pPr>
        <w:jc w:val="center"/>
      </w:pPr>
      <w:r>
        <w:rPr>
          <w:rFonts w:ascii="Arial" w:hAnsi="Arial"/>
          <w:color w:val="000000"/>
        </w:rPr>
        <w:t>______________________________________________________________________________</w:t>
      </w:r>
    </w:p>
    <w:p w14:paraId="65F30B4B" w14:textId="77777777" w:rsidR="008B73E9" w:rsidRDefault="008B73E9" w:rsidP="008B73E9">
      <w:pPr>
        <w:jc w:val="center"/>
        <w:rPr>
          <w:rFonts w:ascii="Arial" w:hAnsi="Arial"/>
          <w:b/>
          <w:color w:val="00007F"/>
          <w:sz w:val="26"/>
        </w:rPr>
      </w:pPr>
    </w:p>
    <w:p w14:paraId="2C10509A" w14:textId="77777777" w:rsidR="008B73E9" w:rsidRDefault="008B73E9" w:rsidP="008B73E9">
      <w:pPr>
        <w:jc w:val="center"/>
        <w:rPr>
          <w:rFonts w:ascii="Arial" w:hAnsi="Arial"/>
          <w:b/>
          <w:color w:val="00007F"/>
          <w:sz w:val="26"/>
        </w:rPr>
      </w:pPr>
    </w:p>
    <w:p w14:paraId="1CDDE0E1" w14:textId="77777777" w:rsidR="008B73E9" w:rsidRDefault="008B73E9" w:rsidP="008B73E9">
      <w:pPr>
        <w:jc w:val="center"/>
        <w:rPr>
          <w:rFonts w:ascii="Arial" w:hAnsi="Arial"/>
          <w:b/>
          <w:color w:val="00007F"/>
          <w:sz w:val="26"/>
        </w:rPr>
      </w:pPr>
    </w:p>
    <w:p w14:paraId="7A7F4B16" w14:textId="77777777" w:rsidR="008B73E9" w:rsidRDefault="008B73E9" w:rsidP="008B73E9">
      <w:pPr>
        <w:jc w:val="center"/>
        <w:rPr>
          <w:rFonts w:ascii="Arial" w:hAnsi="Arial"/>
          <w:b/>
          <w:color w:val="00007F"/>
          <w:sz w:val="26"/>
        </w:rPr>
      </w:pPr>
    </w:p>
    <w:p w14:paraId="756B536F" w14:textId="77777777" w:rsidR="008B73E9" w:rsidRDefault="008B73E9" w:rsidP="008B73E9">
      <w:pPr>
        <w:jc w:val="center"/>
        <w:rPr>
          <w:rFonts w:ascii="Arial" w:hAnsi="Arial"/>
          <w:b/>
          <w:color w:val="00007F"/>
          <w:sz w:val="26"/>
        </w:rPr>
      </w:pPr>
    </w:p>
    <w:p w14:paraId="31F865BC" w14:textId="77777777" w:rsidR="008B73E9" w:rsidRDefault="008B73E9" w:rsidP="008B73E9">
      <w:pPr>
        <w:jc w:val="center"/>
        <w:rPr>
          <w:rFonts w:ascii="Arial" w:hAnsi="Arial"/>
          <w:b/>
          <w:color w:val="00007F"/>
          <w:sz w:val="26"/>
        </w:rPr>
      </w:pPr>
    </w:p>
    <w:p w14:paraId="071146F0" w14:textId="77777777" w:rsidR="008B73E9" w:rsidRDefault="008B73E9" w:rsidP="008B73E9">
      <w:pPr>
        <w:jc w:val="center"/>
        <w:rPr>
          <w:rFonts w:ascii="Arial" w:hAnsi="Arial"/>
          <w:b/>
          <w:color w:val="00007F"/>
          <w:sz w:val="26"/>
        </w:rPr>
      </w:pPr>
    </w:p>
    <w:p w14:paraId="3B8D6C18" w14:textId="77777777" w:rsidR="008B73E9" w:rsidRDefault="008B73E9" w:rsidP="008B73E9">
      <w:pPr>
        <w:jc w:val="center"/>
        <w:rPr>
          <w:rFonts w:ascii="Arial" w:hAnsi="Arial"/>
          <w:b/>
          <w:color w:val="00007F"/>
          <w:sz w:val="26"/>
        </w:rPr>
      </w:pPr>
    </w:p>
    <w:p w14:paraId="20DE8956" w14:textId="77777777" w:rsidR="008B73E9" w:rsidRDefault="008B73E9" w:rsidP="008B73E9">
      <w:pPr>
        <w:jc w:val="center"/>
        <w:rPr>
          <w:rFonts w:ascii="Arial" w:hAnsi="Arial"/>
          <w:b/>
          <w:color w:val="00007F"/>
          <w:sz w:val="26"/>
        </w:rPr>
      </w:pPr>
    </w:p>
    <w:p w14:paraId="15171FA9" w14:textId="77777777" w:rsidR="008B73E9" w:rsidRDefault="008B73E9" w:rsidP="008B73E9">
      <w:pPr>
        <w:jc w:val="center"/>
        <w:rPr>
          <w:rFonts w:ascii="Arial" w:hAnsi="Arial"/>
          <w:b/>
          <w:color w:val="00007F"/>
          <w:sz w:val="26"/>
        </w:rPr>
      </w:pPr>
    </w:p>
    <w:p w14:paraId="5E6B6780" w14:textId="77777777" w:rsidR="008B73E9" w:rsidRDefault="008B73E9" w:rsidP="008B73E9">
      <w:pPr>
        <w:jc w:val="center"/>
        <w:rPr>
          <w:rFonts w:ascii="Arial" w:hAnsi="Arial"/>
          <w:b/>
          <w:color w:val="00007F"/>
          <w:sz w:val="26"/>
        </w:rPr>
      </w:pPr>
    </w:p>
    <w:p w14:paraId="4076A3F1" w14:textId="77777777" w:rsidR="008B73E9" w:rsidRDefault="008B73E9" w:rsidP="008B73E9">
      <w:pPr>
        <w:jc w:val="center"/>
        <w:rPr>
          <w:rFonts w:ascii="Arial" w:hAnsi="Arial"/>
          <w:b/>
          <w:color w:val="00007F"/>
          <w:sz w:val="26"/>
        </w:rPr>
      </w:pPr>
    </w:p>
    <w:p w14:paraId="33BB4F5B" w14:textId="77777777" w:rsidR="008B73E9" w:rsidRDefault="008B73E9" w:rsidP="008B73E9">
      <w:pPr>
        <w:jc w:val="center"/>
      </w:pPr>
    </w:p>
    <w:p w14:paraId="2E34A85E" w14:textId="63140DF7" w:rsidR="00C33C7F" w:rsidRDefault="00C33C7F"/>
    <w:p w14:paraId="352BF8F6" w14:textId="77777777" w:rsidR="00C33C7F" w:rsidRDefault="008B73E9">
      <w:pPr>
        <w:jc w:val="center"/>
      </w:pPr>
      <w:r>
        <w:rPr>
          <w:rFonts w:ascii="Arial" w:hAnsi="Arial"/>
          <w:color w:val="000000"/>
          <w:sz w:val="24"/>
        </w:rPr>
        <w:lastRenderedPageBreak/>
        <w:br/>
        <w:t>WEEKLY PLANNING LISTS</w:t>
      </w:r>
    </w:p>
    <w:p w14:paraId="72FAD4E6" w14:textId="77777777" w:rsidR="00C33C7F" w:rsidRDefault="008B73E9">
      <w:pPr>
        <w:jc w:val="center"/>
      </w:pPr>
      <w:r>
        <w:rPr>
          <w:rFonts w:ascii="Arial" w:hAnsi="Arial"/>
          <w:b/>
          <w:color w:val="000000"/>
        </w:rPr>
        <w:t>Article 27(2), Planning &amp; Development Regulations 2001 (as amended)</w:t>
      </w:r>
    </w:p>
    <w:p w14:paraId="1BC66C19" w14:textId="77777777" w:rsidR="00C33C7F" w:rsidRDefault="008B73E9">
      <w:r>
        <w:rPr>
          <w:rFonts w:ascii="Arial" w:hAnsi="Arial"/>
          <w:color w:val="000000"/>
          <w:sz w:val="24"/>
        </w:rPr>
        <w:t>(a)  Under section 34 of the Act, the applications for permission may be granted permission, subject to or without conditions, or refused.</w:t>
      </w:r>
    </w:p>
    <w:p w14:paraId="262DCE54" w14:textId="77777777" w:rsidR="00C33C7F" w:rsidRDefault="008B73E9">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6513EC9" w14:textId="77777777" w:rsidR="00C33C7F" w:rsidRDefault="008B73E9">
      <w:pPr>
        <w:jc w:val="center"/>
      </w:pPr>
      <w:r>
        <w:rPr>
          <w:rFonts w:ascii="Arial" w:hAnsi="Arial"/>
          <w:b/>
          <w:color w:val="000000"/>
        </w:rPr>
        <w:t>Article 31(g), Planning &amp; Development Regulations 2001 (as amended)</w:t>
      </w:r>
    </w:p>
    <w:p w14:paraId="35E28FCB" w14:textId="77777777" w:rsidR="00C33C7F" w:rsidRDefault="008B73E9">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4FB3325E" w14:textId="77777777" w:rsidR="00C33C7F" w:rsidRDefault="008B73E9">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28A00EE6" w14:textId="77777777" w:rsidR="00C33C7F" w:rsidRDefault="008B73E9">
      <w:pPr>
        <w:jc w:val="center"/>
      </w:pPr>
      <w:r>
        <w:rPr>
          <w:rFonts w:ascii="Arial" w:hAnsi="Arial"/>
          <w:color w:val="000000"/>
          <w:sz w:val="24"/>
        </w:rPr>
        <w:br/>
        <w:t>PLANNING INFORMATION SESSIONS</w:t>
      </w:r>
    </w:p>
    <w:p w14:paraId="1F6863B9" w14:textId="77777777" w:rsidR="00C33C7F" w:rsidRDefault="008B73E9">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02C685B4" w14:textId="77777777" w:rsidR="00C33C7F" w:rsidRDefault="008B73E9">
      <w:pPr>
        <w:jc w:val="center"/>
      </w:pPr>
      <w:r>
        <w:rPr>
          <w:noProof/>
        </w:rPr>
        <w:drawing>
          <wp:inline distT="0" distB="0" distL="0" distR="0" wp14:anchorId="73F865F9" wp14:editId="1B6CE8B6">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sectPr w:rsidR="00C33C7F"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7E05" w14:textId="77777777" w:rsidR="00B15244" w:rsidRDefault="00B15244" w:rsidP="00B15244">
      <w:pPr>
        <w:spacing w:after="0" w:line="240" w:lineRule="auto"/>
      </w:pPr>
      <w:r>
        <w:separator/>
      </w:r>
    </w:p>
  </w:endnote>
  <w:endnote w:type="continuationSeparator" w:id="0">
    <w:p w14:paraId="1DA9AE40"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5B4B"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04CE9CED"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0566D9B0"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3202"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A1B7" w14:textId="77777777" w:rsidR="00B15244" w:rsidRDefault="00B15244" w:rsidP="00B15244">
      <w:pPr>
        <w:spacing w:after="0" w:line="240" w:lineRule="auto"/>
      </w:pPr>
      <w:r>
        <w:separator/>
      </w:r>
    </w:p>
  </w:footnote>
  <w:footnote w:type="continuationSeparator" w:id="0">
    <w:p w14:paraId="28FE2347"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D616"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D9D1"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28B9"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486076"/>
    <w:rsid w:val="005450E3"/>
    <w:rsid w:val="005623A5"/>
    <w:rsid w:val="0067353E"/>
    <w:rsid w:val="00825051"/>
    <w:rsid w:val="008B73E9"/>
    <w:rsid w:val="008D1894"/>
    <w:rsid w:val="00966DF9"/>
    <w:rsid w:val="00AC649D"/>
    <w:rsid w:val="00B15244"/>
    <w:rsid w:val="00C33C7F"/>
    <w:rsid w:val="00C9354C"/>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86E8E"/>
  <w15:docId w15:val="{ACD2E9AF-599F-4128-A92B-FF158EE1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2622</Words>
  <Characters>14951</Characters>
  <Application>Microsoft Office Word</Application>
  <DocSecurity>0</DocSecurity>
  <Lines>124</Lines>
  <Paragraphs>35</Paragraphs>
  <ScaleCrop>false</ScaleCrop>
  <Company>Dublin City Council</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Molly Carpenter</cp:lastModifiedBy>
  <cp:revision>3</cp:revision>
  <dcterms:created xsi:type="dcterms:W3CDTF">2026-04-23T14:37:00Z</dcterms:created>
  <dcterms:modified xsi:type="dcterms:W3CDTF">2026-04-23T14:46:00Z</dcterms:modified>
</cp:coreProperties>
</file>